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7BD4" w14:textId="77777777" w:rsidR="00857442" w:rsidRDefault="00857442" w:rsidP="00857442">
      <w:pPr>
        <w:tabs>
          <w:tab w:val="left" w:pos="7208"/>
          <w:tab w:val="left" w:pos="8690"/>
          <w:tab w:val="left" w:pos="10590"/>
        </w:tabs>
        <w:rPr>
          <w:b/>
          <w:caps/>
        </w:rPr>
      </w:pPr>
      <w:r w:rsidRPr="00857442">
        <w:rPr>
          <w:b/>
          <w:caps/>
        </w:rPr>
        <w:t xml:space="preserve"> “Tools for Strengths’ Based Assessment and Evaluation.”  </w:t>
      </w:r>
      <w:r>
        <w:rPr>
          <w:b/>
          <w:caps/>
        </w:rPr>
        <w:t>- Prepublication draft</w:t>
      </w:r>
    </w:p>
    <w:p w14:paraId="36CB4D68" w14:textId="77777777" w:rsidR="00857442" w:rsidRDefault="00857442" w:rsidP="008F1E4C">
      <w:pPr>
        <w:tabs>
          <w:tab w:val="left" w:pos="7208"/>
          <w:tab w:val="left" w:pos="8690"/>
          <w:tab w:val="left" w:pos="10590"/>
        </w:tabs>
        <w:rPr>
          <w:b/>
          <w:caps/>
        </w:rPr>
      </w:pPr>
    </w:p>
    <w:p w14:paraId="30655D02" w14:textId="77777777" w:rsidR="008F1E4C" w:rsidRPr="006A2F6D" w:rsidRDefault="008F1E4C" w:rsidP="008F1E4C">
      <w:pPr>
        <w:tabs>
          <w:tab w:val="left" w:pos="7208"/>
          <w:tab w:val="left" w:pos="8690"/>
          <w:tab w:val="left" w:pos="10590"/>
        </w:tabs>
        <w:rPr>
          <w:b/>
          <w:caps/>
        </w:rPr>
      </w:pPr>
      <w:proofErr w:type="spellStart"/>
      <w:r w:rsidRPr="006A2F6D">
        <w:rPr>
          <w:b/>
          <w:caps/>
        </w:rPr>
        <w:t>K</w:t>
      </w:r>
      <w:r w:rsidRPr="006A2F6D">
        <w:rPr>
          <w:b/>
        </w:rPr>
        <w:t>id</w:t>
      </w:r>
      <w:r w:rsidRPr="006A2F6D">
        <w:rPr>
          <w:b/>
          <w:caps/>
        </w:rPr>
        <w:t>cope</w:t>
      </w:r>
      <w:proofErr w:type="spellEnd"/>
    </w:p>
    <w:p w14:paraId="3BADE17B" w14:textId="77777777" w:rsidR="008F1E4C" w:rsidRPr="006A2F6D" w:rsidRDefault="008F1E4C" w:rsidP="008F1E4C">
      <w:pPr>
        <w:tabs>
          <w:tab w:val="left" w:pos="7208"/>
          <w:tab w:val="left" w:pos="8690"/>
          <w:tab w:val="left" w:pos="10590"/>
        </w:tabs>
      </w:pPr>
      <w:r w:rsidRPr="006A2F6D">
        <w:t>---------------------------------------------------------------------------------------------------------------------</w:t>
      </w:r>
    </w:p>
    <w:p w14:paraId="18AFF7AA" w14:textId="77777777" w:rsidR="008F1E4C" w:rsidRPr="006A2F6D" w:rsidRDefault="008F1E4C" w:rsidP="008F1E4C">
      <w:pPr>
        <w:tabs>
          <w:tab w:val="left" w:pos="7208"/>
          <w:tab w:val="left" w:pos="8690"/>
          <w:tab w:val="left" w:pos="10590"/>
        </w:tabs>
      </w:pPr>
    </w:p>
    <w:p w14:paraId="31BCEF47" w14:textId="77777777" w:rsidR="008F1E4C" w:rsidRPr="006A2F6D" w:rsidRDefault="008F1E4C" w:rsidP="008F1E4C">
      <w:pPr>
        <w:tabs>
          <w:tab w:val="left" w:pos="7208"/>
          <w:tab w:val="left" w:pos="8690"/>
          <w:tab w:val="left" w:pos="10590"/>
        </w:tabs>
      </w:pPr>
      <w:r w:rsidRPr="006A2F6D">
        <w:rPr>
          <w:b/>
        </w:rPr>
        <w:t>AUTHOR:</w:t>
      </w:r>
      <w:r w:rsidRPr="006A2F6D">
        <w:t xml:space="preserve">  Anthony Spirito</w:t>
      </w:r>
    </w:p>
    <w:p w14:paraId="38344B50" w14:textId="77777777" w:rsidR="008F1E4C" w:rsidRPr="006A2F6D" w:rsidRDefault="008F1E4C" w:rsidP="008F1E4C">
      <w:pPr>
        <w:tabs>
          <w:tab w:val="left" w:pos="7208"/>
          <w:tab w:val="left" w:pos="8690"/>
          <w:tab w:val="left" w:pos="10590"/>
        </w:tabs>
      </w:pPr>
    </w:p>
    <w:p w14:paraId="493A11B5" w14:textId="77777777" w:rsidR="008F1E4C" w:rsidRPr="006A2F6D" w:rsidRDefault="008F1E4C" w:rsidP="008F1E4C">
      <w:pPr>
        <w:autoSpaceDE w:val="0"/>
        <w:autoSpaceDN w:val="0"/>
        <w:adjustRightInd w:val="0"/>
      </w:pPr>
      <w:proofErr w:type="gramStart"/>
      <w:r w:rsidRPr="006A2F6D">
        <w:rPr>
          <w:b/>
        </w:rPr>
        <w:t>PURPOSE</w:t>
      </w:r>
      <w:r w:rsidRPr="006A2F6D">
        <w:t xml:space="preserve"> :</w:t>
      </w:r>
      <w:proofErr w:type="gramEnd"/>
      <w:r w:rsidRPr="006A2F6D">
        <w:t xml:space="preserve"> To screen cognitive and behavioral coping in children and adolescents..</w:t>
      </w:r>
    </w:p>
    <w:p w14:paraId="53C617D5" w14:textId="77777777" w:rsidR="008F1E4C" w:rsidRPr="006A2F6D" w:rsidRDefault="008F1E4C" w:rsidP="008F1E4C">
      <w:pPr>
        <w:autoSpaceDE w:val="0"/>
        <w:autoSpaceDN w:val="0"/>
        <w:adjustRightInd w:val="0"/>
        <w:rPr>
          <w:szCs w:val="20"/>
        </w:rPr>
      </w:pPr>
    </w:p>
    <w:p w14:paraId="718D205D" w14:textId="77777777" w:rsidR="008F1E4C" w:rsidRPr="006A2F6D" w:rsidRDefault="008F1E4C" w:rsidP="008F1E4C">
      <w:pPr>
        <w:autoSpaceDE w:val="0"/>
        <w:autoSpaceDN w:val="0"/>
        <w:adjustRightInd w:val="0"/>
      </w:pPr>
      <w:r w:rsidRPr="006A2F6D">
        <w:rPr>
          <w:b/>
        </w:rPr>
        <w:t>DESCRIPTION</w:t>
      </w:r>
      <w:r w:rsidR="00857442">
        <w:t>:  The</w:t>
      </w:r>
      <w:r w:rsidRPr="006A2F6D">
        <w:t xml:space="preserve"> </w:t>
      </w:r>
      <w:proofErr w:type="spellStart"/>
      <w:r w:rsidRPr="006A2F6D">
        <w:t>Kid</w:t>
      </w:r>
      <w:r w:rsidRPr="006A2F6D">
        <w:rPr>
          <w:caps/>
        </w:rPr>
        <w:t>cope</w:t>
      </w:r>
      <w:proofErr w:type="spellEnd"/>
      <w:r w:rsidRPr="006A2F6D">
        <w:t xml:space="preserve"> (Spirito, Stark, &amp; Williams, 1988) is a brief, clinical checklist designed to screen cognitive and behavioral coping in children and adolescents.  Two versions of the </w:t>
      </w:r>
      <w:proofErr w:type="spellStart"/>
      <w:r w:rsidRPr="006A2F6D">
        <w:t>KidCOPE</w:t>
      </w:r>
      <w:proofErr w:type="spellEnd"/>
      <w:r w:rsidRPr="006A2F6D">
        <w:t xml:space="preserve"> exist one for younger children (ages 7 to 12 years) and one for older children and adolescents (ages 13-18 years).  </w:t>
      </w:r>
      <w:r w:rsidRPr="006A2F6D">
        <w:rPr>
          <w:rFonts w:eastAsiaTheme="minorHAnsi" w:cs="Times"/>
          <w:color w:val="141413"/>
          <w:szCs w:val="20"/>
        </w:rPr>
        <w:t xml:space="preserve">The version for adolescents (included in this text) consists of 11-items and uses a 4-point, Likert-type response scale.  The version for children is composed of 15 items and uses a dichotomous response scale (no vs. yes).  </w:t>
      </w:r>
      <w:r w:rsidRPr="006A2F6D">
        <w:t xml:space="preserve">Each version assesses the use and perceived efficacy of helpful and not so helpful coping strategies including distraction, social withdrawal, cognitive restructuring, self-criticism, blaming, problem solving, emotional regulation, wishful thinking, social </w:t>
      </w:r>
      <w:proofErr w:type="gramStart"/>
      <w:r w:rsidRPr="006A2F6D">
        <w:t>support</w:t>
      </w:r>
      <w:proofErr w:type="gramEnd"/>
      <w:r w:rsidRPr="006A2F6D">
        <w:t xml:space="preserve"> and resignation.  B</w:t>
      </w:r>
      <w:r w:rsidRPr="006A2F6D">
        <w:rPr>
          <w:rFonts w:eastAsia="Calibri"/>
        </w:rPr>
        <w:t xml:space="preserve">ecause the function of each </w:t>
      </w:r>
      <w:proofErr w:type="gramStart"/>
      <w:r w:rsidRPr="006A2F6D">
        <w:rPr>
          <w:rFonts w:eastAsia="Calibri"/>
        </w:rPr>
        <w:t>particular coping</w:t>
      </w:r>
      <w:proofErr w:type="gramEnd"/>
      <w:r w:rsidRPr="006A2F6D">
        <w:rPr>
          <w:rFonts w:eastAsia="Calibri"/>
        </w:rPr>
        <w:t xml:space="preserve"> strategy varies by situation, </w:t>
      </w:r>
      <w:r w:rsidRPr="006A2F6D">
        <w:t>each strategy is analyzed separately</w:t>
      </w:r>
      <w:r w:rsidRPr="006A2F6D">
        <w:rPr>
          <w:rFonts w:eastAsia="Calibri"/>
        </w:rPr>
        <w:t xml:space="preserve"> (Spirito, 1996; Spirito et al., 1988).  </w:t>
      </w:r>
      <w:r w:rsidRPr="006A2F6D">
        <w:t xml:space="preserve">A widely used measure, the </w:t>
      </w:r>
      <w:proofErr w:type="spellStart"/>
      <w:r w:rsidRPr="006A2F6D">
        <w:t>KidCOPE</w:t>
      </w:r>
      <w:proofErr w:type="spellEnd"/>
      <w:r w:rsidRPr="006A2F6D">
        <w:t xml:space="preserve"> was originally developed for children with chronic illness (cystic fibrosis, leukemia, </w:t>
      </w:r>
      <w:proofErr w:type="spellStart"/>
      <w:r w:rsidRPr="006A2F6D">
        <w:t>etc</w:t>
      </w:r>
      <w:proofErr w:type="spellEnd"/>
      <w:r w:rsidRPr="006A2F6D">
        <w:t>), it has been adapted for use with coping with HIV (</w:t>
      </w:r>
      <w:proofErr w:type="spellStart"/>
      <w:r w:rsidRPr="006A2F6D">
        <w:t>Orban</w:t>
      </w:r>
      <w:proofErr w:type="spellEnd"/>
      <w:r w:rsidRPr="006A2F6D">
        <w:t xml:space="preserve"> et al., 2010), war (</w:t>
      </w:r>
      <w:proofErr w:type="spellStart"/>
      <w:r w:rsidRPr="006A2F6D">
        <w:t>Paardekooper</w:t>
      </w:r>
      <w:proofErr w:type="spellEnd"/>
      <w:r w:rsidRPr="006A2F6D">
        <w:t xml:space="preserve"> de Jong, &amp; </w:t>
      </w:r>
      <w:proofErr w:type="spellStart"/>
      <w:r w:rsidRPr="006A2F6D">
        <w:t>Hermanns</w:t>
      </w:r>
      <w:proofErr w:type="spellEnd"/>
      <w:r w:rsidRPr="006A2F6D">
        <w:t>., 1999), natural disaster (</w:t>
      </w:r>
      <w:proofErr w:type="spellStart"/>
      <w:r w:rsidRPr="006A2F6D">
        <w:t>Jeney</w:t>
      </w:r>
      <w:proofErr w:type="spellEnd"/>
      <w:r w:rsidRPr="006A2F6D">
        <w:t xml:space="preserve">-Gammon, Daugherty, Finch, &amp; Belter, 1993), accidents (Stallard, Velleman, Langsford, &amp; Baldwin, 2001) and psychiatric issues (Spirito, </w:t>
      </w:r>
      <w:proofErr w:type="spellStart"/>
      <w:r w:rsidRPr="006A2F6D">
        <w:t>Overholser</w:t>
      </w:r>
      <w:proofErr w:type="spellEnd"/>
      <w:r w:rsidRPr="006A2F6D">
        <w:t xml:space="preserve">, &amp; Stark, 1989).  To this end, the </w:t>
      </w:r>
      <w:proofErr w:type="spellStart"/>
      <w:r w:rsidRPr="006A2F6D">
        <w:t>KidCOPE</w:t>
      </w:r>
      <w:proofErr w:type="spellEnd"/>
      <w:r w:rsidRPr="006A2F6D">
        <w:t xml:space="preserve"> may be used to assess general and specific stressors across a wide range of diverse populations.</w:t>
      </w:r>
    </w:p>
    <w:p w14:paraId="4E1F95C2" w14:textId="77777777" w:rsidR="008F1E4C" w:rsidRPr="006A2F6D" w:rsidRDefault="008F1E4C" w:rsidP="008F1E4C">
      <w:pPr>
        <w:autoSpaceDE w:val="0"/>
        <w:autoSpaceDN w:val="0"/>
        <w:adjustRightInd w:val="0"/>
      </w:pPr>
    </w:p>
    <w:p w14:paraId="2CC104A0" w14:textId="77777777" w:rsidR="008F1E4C" w:rsidRPr="006A2F6D" w:rsidRDefault="008F1E4C" w:rsidP="008F1E4C">
      <w:pPr>
        <w:autoSpaceDE w:val="0"/>
        <w:autoSpaceDN w:val="0"/>
        <w:adjustRightInd w:val="0"/>
      </w:pPr>
      <w:r w:rsidRPr="006A2F6D">
        <w:rPr>
          <w:b/>
        </w:rPr>
        <w:t>HOW ADMINISTERED</w:t>
      </w:r>
      <w:r w:rsidRPr="006A2F6D">
        <w:t xml:space="preserve">: </w:t>
      </w:r>
      <w:r w:rsidRPr="006A2F6D">
        <w:rPr>
          <w:i/>
        </w:rPr>
        <w:t>For younger children</w:t>
      </w:r>
      <w:r w:rsidRPr="006A2F6D">
        <w:t xml:space="preserve"> instructions and items should be read to the child while the interviewer completes the scales based on the child’s responses.  </w:t>
      </w:r>
      <w:r w:rsidRPr="006A2F6D">
        <w:rPr>
          <w:i/>
        </w:rPr>
        <w:t>For older children</w:t>
      </w:r>
      <w:r w:rsidRPr="006A2F6D">
        <w:t xml:space="preserve"> self-administration is appropriate.  However, instructions and the first item may be completed with an interviewer.  Completion for both groups takes between 5 and 7 minutes.</w:t>
      </w:r>
    </w:p>
    <w:p w14:paraId="03DB3D1A" w14:textId="77777777" w:rsidR="008F1E4C" w:rsidRPr="006A2F6D" w:rsidRDefault="008F1E4C" w:rsidP="008F1E4C">
      <w:pPr>
        <w:autoSpaceDE w:val="0"/>
        <w:autoSpaceDN w:val="0"/>
        <w:adjustRightInd w:val="0"/>
        <w:rPr>
          <w:rFonts w:eastAsia="Calibri"/>
        </w:rPr>
      </w:pPr>
    </w:p>
    <w:p w14:paraId="0CC3D328" w14:textId="77777777" w:rsidR="00BE6CA8" w:rsidRDefault="008F1E4C" w:rsidP="008F1E4C">
      <w:pPr>
        <w:autoSpaceDE w:val="0"/>
        <w:autoSpaceDN w:val="0"/>
        <w:adjustRightInd w:val="0"/>
      </w:pPr>
      <w:r w:rsidRPr="006A2F6D">
        <w:rPr>
          <w:b/>
        </w:rPr>
        <w:t xml:space="preserve">SCORING: </w:t>
      </w:r>
      <w:r w:rsidRPr="00C7677B">
        <w:t>The version included in this text (for older children) is scored on a 5-point scale from 0 (“not at all”) to 5 (“almost all the time” and “very much”). Each item is scored according to frequency (“how often did you do this?”) and efficacy (“How much did it help?”).  Scores for the two subscales (frequency and efficacy) are the sum of the 11 items.  Please</w:t>
      </w:r>
      <w:r>
        <w:t xml:space="preserve"> note question 7 has to parts (7a and 7b).  For this question, the highest score for either 7a or 7B is coded as the score for that item. </w:t>
      </w:r>
    </w:p>
    <w:p w14:paraId="4F886EA9" w14:textId="77777777" w:rsidR="00BE6CA8" w:rsidRDefault="00BE6CA8" w:rsidP="008F1E4C">
      <w:pPr>
        <w:autoSpaceDE w:val="0"/>
        <w:autoSpaceDN w:val="0"/>
        <w:adjustRightInd w:val="0"/>
        <w:rPr>
          <w:b/>
          <w:caps/>
        </w:rPr>
      </w:pPr>
    </w:p>
    <w:p w14:paraId="400A2E06" w14:textId="77777777" w:rsidR="008F1E4C" w:rsidRPr="006A2F6D" w:rsidRDefault="008F1E4C" w:rsidP="008F1E4C">
      <w:pPr>
        <w:autoSpaceDE w:val="0"/>
        <w:autoSpaceDN w:val="0"/>
        <w:adjustRightInd w:val="0"/>
        <w:rPr>
          <w:rFonts w:eastAsia="Calibri"/>
          <w:color w:val="141314"/>
        </w:rPr>
      </w:pPr>
      <w:r w:rsidRPr="006A2F6D">
        <w:rPr>
          <w:rFonts w:eastAsia="Calibri"/>
          <w:b/>
          <w:color w:val="141314"/>
        </w:rPr>
        <w:t>RELIABILITY:</w:t>
      </w:r>
      <w:r w:rsidRPr="006A2F6D">
        <w:rPr>
          <w:rFonts w:eastAsia="Calibri"/>
          <w:color w:val="141314"/>
        </w:rPr>
        <w:t xml:space="preserve"> Initial psychometric evaluation of the </w:t>
      </w:r>
      <w:proofErr w:type="spellStart"/>
      <w:r w:rsidRPr="006A2F6D">
        <w:rPr>
          <w:rFonts w:eastAsia="Calibri"/>
          <w:color w:val="141314"/>
        </w:rPr>
        <w:t>KidCOPE</w:t>
      </w:r>
      <w:proofErr w:type="spellEnd"/>
      <w:r w:rsidRPr="006A2F6D">
        <w:rPr>
          <w:rFonts w:eastAsia="Calibri"/>
          <w:color w:val="141314"/>
        </w:rPr>
        <w:t xml:space="preserve"> was completed using 4 groups of “typical” kids (n = 60, 91, 142 and 72) a group of kids from a diabetes camp (n = 34) and a group of kids from a pediatric psychiatric outpatient program (n = 38).  Coefficients measuring temporal stability for 3 day, 1-week, 2-weeks, and 10 weeks indicate adequate results for short term (3-7 days) however reduced significantly with longer intervals (2-10 weeks) (</w:t>
      </w:r>
      <w:r w:rsidRPr="006A2F6D">
        <w:rPr>
          <w:rFonts w:eastAsia="Calibri"/>
        </w:rPr>
        <w:t xml:space="preserve">Spirito, Stark, &amp; Williams, 1988).  The reason for this was contributed to the idea that </w:t>
      </w:r>
      <w:r w:rsidRPr="006A2F6D">
        <w:rPr>
          <w:rFonts w:eastAsia="Calibri"/>
          <w:color w:val="141314"/>
        </w:rPr>
        <w:t xml:space="preserve">coping </w:t>
      </w:r>
      <w:r w:rsidRPr="006A2F6D">
        <w:rPr>
          <w:rFonts w:eastAsia="Calibri"/>
        </w:rPr>
        <w:t xml:space="preserve">is a process that changes over time and according to situational demands (Spirito, Stark, &amp; Williams, 1988). </w:t>
      </w:r>
    </w:p>
    <w:p w14:paraId="619473D8" w14:textId="77777777" w:rsidR="008F1E4C" w:rsidRPr="006A2F6D" w:rsidRDefault="008F1E4C" w:rsidP="008F1E4C">
      <w:pPr>
        <w:autoSpaceDE w:val="0"/>
        <w:autoSpaceDN w:val="0"/>
        <w:adjustRightInd w:val="0"/>
      </w:pPr>
    </w:p>
    <w:p w14:paraId="172D133E" w14:textId="77777777" w:rsidR="008F1E4C" w:rsidRPr="006A2F6D" w:rsidRDefault="008F1E4C" w:rsidP="008F1E4C">
      <w:pPr>
        <w:autoSpaceDE w:val="0"/>
        <w:autoSpaceDN w:val="0"/>
        <w:adjustRightInd w:val="0"/>
        <w:rPr>
          <w:rFonts w:eastAsia="Calibri"/>
          <w:szCs w:val="22"/>
        </w:rPr>
      </w:pPr>
      <w:r w:rsidRPr="006A2F6D">
        <w:rPr>
          <w:b/>
        </w:rPr>
        <w:t>VALIDITY:</w:t>
      </w:r>
      <w:r w:rsidRPr="006A2F6D">
        <w:t xml:space="preserve"> </w:t>
      </w:r>
      <w:r w:rsidRPr="006A2F6D">
        <w:rPr>
          <w:rFonts w:eastAsia="Calibri"/>
          <w:color w:val="141314"/>
        </w:rPr>
        <w:t>Multiple studies</w:t>
      </w:r>
      <w:r w:rsidRPr="006A2F6D">
        <w:t xml:space="preserve"> </w:t>
      </w:r>
      <w:r w:rsidRPr="006A2F6D">
        <w:rPr>
          <w:rFonts w:eastAsia="Calibri"/>
          <w:szCs w:val="22"/>
        </w:rPr>
        <w:t xml:space="preserve">have addressed issues relevant to validity the </w:t>
      </w:r>
      <w:proofErr w:type="spellStart"/>
      <w:r w:rsidRPr="006A2F6D">
        <w:rPr>
          <w:rFonts w:eastAsia="Calibri"/>
          <w:szCs w:val="22"/>
        </w:rPr>
        <w:t>KidCOPE</w:t>
      </w:r>
      <w:proofErr w:type="spellEnd"/>
      <w:r w:rsidRPr="006A2F6D">
        <w:rPr>
          <w:rFonts w:eastAsia="Calibri"/>
          <w:szCs w:val="22"/>
        </w:rPr>
        <w:t xml:space="preserve"> across various demographic populations (e.g., </w:t>
      </w:r>
      <w:r w:rsidRPr="006A2F6D">
        <w:rPr>
          <w:rFonts w:eastAsiaTheme="minorHAnsi" w:cs="Times"/>
          <w:color w:val="141413"/>
          <w:szCs w:val="20"/>
        </w:rPr>
        <w:t xml:space="preserve">Cheng &amp; Chan, 2003; </w:t>
      </w:r>
      <w:r w:rsidRPr="006A2F6D">
        <w:rPr>
          <w:rFonts w:eastAsia="Calibri"/>
        </w:rPr>
        <w:t xml:space="preserve">Spirito, Stark, &amp; Williams, 1988; </w:t>
      </w:r>
      <w:r w:rsidRPr="006A2F6D">
        <w:t xml:space="preserve">Vigna et al., 2010).  Rather consistently, positive </w:t>
      </w:r>
      <w:r w:rsidRPr="006A2F6D">
        <w:rPr>
          <w:rFonts w:eastAsia="Calibri"/>
          <w:szCs w:val="22"/>
        </w:rPr>
        <w:t xml:space="preserve">correlations are reported between the </w:t>
      </w:r>
      <w:proofErr w:type="spellStart"/>
      <w:r w:rsidRPr="006A2F6D">
        <w:rPr>
          <w:rFonts w:eastAsia="Calibri"/>
          <w:szCs w:val="22"/>
        </w:rPr>
        <w:t>KidCOPE</w:t>
      </w:r>
      <w:proofErr w:type="spellEnd"/>
      <w:r w:rsidRPr="006A2F6D">
        <w:rPr>
          <w:rFonts w:eastAsia="Calibri"/>
          <w:szCs w:val="22"/>
        </w:rPr>
        <w:t xml:space="preserve"> items and similar </w:t>
      </w:r>
      <w:r w:rsidRPr="006A2F6D">
        <w:rPr>
          <w:rFonts w:eastAsia="Calibri"/>
          <w:szCs w:val="22"/>
        </w:rPr>
        <w:lastRenderedPageBreak/>
        <w:t xml:space="preserve">constructs while inverse (negative) correlations are reported between the </w:t>
      </w:r>
      <w:proofErr w:type="spellStart"/>
      <w:r w:rsidRPr="006A2F6D">
        <w:rPr>
          <w:rFonts w:eastAsia="Calibri"/>
          <w:szCs w:val="22"/>
        </w:rPr>
        <w:t>KidCOPE</w:t>
      </w:r>
      <w:proofErr w:type="spellEnd"/>
      <w:r w:rsidRPr="006A2F6D">
        <w:rPr>
          <w:rFonts w:eastAsia="Calibri"/>
          <w:szCs w:val="22"/>
        </w:rPr>
        <w:t xml:space="preserve"> and dissimilar constructs (</w:t>
      </w:r>
      <w:r w:rsidRPr="006A2F6D">
        <w:rPr>
          <w:rFonts w:eastAsiaTheme="minorHAnsi" w:cs="Times"/>
          <w:color w:val="141413"/>
          <w:szCs w:val="20"/>
        </w:rPr>
        <w:t xml:space="preserve">Cheng &amp; Chan, 2003; </w:t>
      </w:r>
      <w:r w:rsidRPr="006A2F6D">
        <w:rPr>
          <w:rFonts w:eastAsia="Calibri"/>
        </w:rPr>
        <w:t xml:space="preserve">Spirito, Stark, &amp; Williams, 1988; </w:t>
      </w:r>
      <w:r w:rsidRPr="006A2F6D">
        <w:t>Vigna et al., 2010).  Psychometric evaluation using confirmatory factor analysis, however, produces mixed results of between one and 4 factors (</w:t>
      </w:r>
      <w:r w:rsidRPr="006A2F6D">
        <w:rPr>
          <w:rFonts w:eastAsiaTheme="minorHAnsi" w:cs="Times"/>
          <w:color w:val="141413"/>
          <w:szCs w:val="20"/>
        </w:rPr>
        <w:t xml:space="preserve">Cheng &amp; Chan, 2003; Spirito et al., 1994; </w:t>
      </w:r>
      <w:proofErr w:type="spellStart"/>
      <w:r w:rsidRPr="006A2F6D">
        <w:rPr>
          <w:rFonts w:eastAsiaTheme="minorHAnsi" w:cs="Times"/>
          <w:color w:val="141413"/>
          <w:szCs w:val="20"/>
        </w:rPr>
        <w:t>Vernberg</w:t>
      </w:r>
      <w:proofErr w:type="spellEnd"/>
      <w:r w:rsidRPr="006A2F6D">
        <w:rPr>
          <w:rFonts w:eastAsiaTheme="minorHAnsi" w:cs="Times"/>
          <w:color w:val="141413"/>
          <w:szCs w:val="20"/>
        </w:rPr>
        <w:t xml:space="preserve"> et al., 1996; </w:t>
      </w:r>
      <w:r w:rsidRPr="006A2F6D">
        <w:t>Vigna et al., 2010) indicating underlying structures may not be stable.  Because each item is measured separately, this does not distract from the usefulness of the scale to identify specific coping mechanisms.  However, further evaluation is needed to better understand underlying factors.</w:t>
      </w:r>
    </w:p>
    <w:p w14:paraId="3747E8F9" w14:textId="77777777" w:rsidR="008F1E4C" w:rsidRPr="006A2F6D" w:rsidRDefault="008F1E4C" w:rsidP="008F1E4C">
      <w:pPr>
        <w:autoSpaceDE w:val="0"/>
        <w:autoSpaceDN w:val="0"/>
        <w:adjustRightInd w:val="0"/>
      </w:pPr>
      <w:r w:rsidRPr="006A2F6D">
        <w:rPr>
          <w:b/>
        </w:rPr>
        <w:t>NORMS/REFERENCE STANDARDS:</w:t>
      </w:r>
      <w:r w:rsidRPr="006A2F6D">
        <w:t xml:space="preserve"> </w:t>
      </w:r>
      <w:r w:rsidRPr="006A2F6D">
        <w:rPr>
          <w:color w:val="000000" w:themeColor="text1"/>
        </w:rPr>
        <w:t xml:space="preserve">Specific cut-off scores and population norms are not available for this instrument. </w:t>
      </w:r>
      <w:r w:rsidRPr="006A2F6D">
        <w:t xml:space="preserve"> </w:t>
      </w:r>
    </w:p>
    <w:p w14:paraId="5CC15BD1" w14:textId="77777777" w:rsidR="008F1E4C" w:rsidRPr="006A2F6D" w:rsidRDefault="008F1E4C" w:rsidP="008F1E4C">
      <w:pPr>
        <w:tabs>
          <w:tab w:val="left" w:pos="7208"/>
          <w:tab w:val="left" w:pos="8690"/>
          <w:tab w:val="left" w:pos="10590"/>
        </w:tabs>
      </w:pPr>
    </w:p>
    <w:p w14:paraId="00EC4615" w14:textId="77777777" w:rsidR="008F1E4C" w:rsidRPr="006A2F6D" w:rsidRDefault="008F1E4C" w:rsidP="008F1E4C">
      <w:r w:rsidRPr="006A2F6D">
        <w:rPr>
          <w:b/>
        </w:rPr>
        <w:t>OTHER CONSIDERATIONS:</w:t>
      </w:r>
      <w:r w:rsidRPr="006A2F6D">
        <w:t xml:space="preserve"> The </w:t>
      </w:r>
      <w:proofErr w:type="spellStart"/>
      <w:r w:rsidRPr="006A2F6D">
        <w:t>KidCOPE</w:t>
      </w:r>
      <w:proofErr w:type="spellEnd"/>
      <w:r w:rsidRPr="006A2F6D">
        <w:t xml:space="preserve"> has been translated into multiple languages including Spanish, Sudanese, Ugandan, German, Chinese, Dutch, and Slovakian. </w:t>
      </w:r>
    </w:p>
    <w:p w14:paraId="03494F5A" w14:textId="77777777" w:rsidR="008F1E4C" w:rsidRPr="006A2F6D" w:rsidRDefault="008F1E4C" w:rsidP="008F1E4C">
      <w:pPr>
        <w:autoSpaceDE w:val="0"/>
        <w:autoSpaceDN w:val="0"/>
        <w:adjustRightInd w:val="0"/>
      </w:pPr>
    </w:p>
    <w:p w14:paraId="2E75DA42" w14:textId="77777777" w:rsidR="008F1E4C" w:rsidRPr="006A2F6D" w:rsidRDefault="008F1E4C" w:rsidP="008F1E4C">
      <w:pPr>
        <w:rPr>
          <w:b/>
        </w:rPr>
      </w:pPr>
      <w:r w:rsidRPr="006A2F6D">
        <w:rPr>
          <w:b/>
        </w:rPr>
        <w:t>PRIMARY REFERENCE</w:t>
      </w:r>
    </w:p>
    <w:p w14:paraId="7A42DB8B" w14:textId="77777777" w:rsidR="008F1E4C" w:rsidRPr="006A2F6D" w:rsidRDefault="008F1E4C" w:rsidP="008F1E4C">
      <w:pPr>
        <w:pStyle w:val="ListParagraph"/>
        <w:numPr>
          <w:ilvl w:val="0"/>
          <w:numId w:val="19"/>
        </w:numPr>
        <w:spacing w:after="0" w:line="240" w:lineRule="auto"/>
        <w:contextualSpacing w:val="0"/>
        <w:rPr>
          <w:rFonts w:ascii="Times New Roman" w:hAnsi="Times New Roman"/>
          <w:sz w:val="24"/>
        </w:rPr>
      </w:pPr>
      <w:r w:rsidRPr="006A2F6D">
        <w:rPr>
          <w:rFonts w:ascii="Times New Roman" w:hAnsi="Times New Roman"/>
          <w:sz w:val="24"/>
        </w:rPr>
        <w:t xml:space="preserve">Spirito, A., Stark, L. J., &amp; Williams, C. (1988). Development of a brief coping checklist for use with pediatric populations. </w:t>
      </w:r>
      <w:r w:rsidRPr="006A2F6D">
        <w:rPr>
          <w:rFonts w:ascii="Times New Roman" w:hAnsi="Times New Roman"/>
          <w:i/>
          <w:sz w:val="24"/>
        </w:rPr>
        <w:t>Journal of Pediatric Psychology</w:t>
      </w:r>
      <w:r w:rsidRPr="006A2F6D">
        <w:rPr>
          <w:rFonts w:ascii="Times New Roman" w:hAnsi="Times New Roman"/>
          <w:sz w:val="24"/>
        </w:rPr>
        <w:t xml:space="preserve">, 13(4), 555-574. </w:t>
      </w:r>
    </w:p>
    <w:p w14:paraId="71ED5293" w14:textId="77777777" w:rsidR="008F1E4C" w:rsidRPr="006A2F6D" w:rsidRDefault="008F1E4C" w:rsidP="008F1E4C"/>
    <w:p w14:paraId="3885C95D" w14:textId="77777777" w:rsidR="008F1E4C" w:rsidRPr="006A2F6D" w:rsidRDefault="008F1E4C" w:rsidP="008F1E4C">
      <w:r w:rsidRPr="006A2F6D">
        <w:rPr>
          <w:b/>
        </w:rPr>
        <w:t>AVAILABILITY:</w:t>
      </w:r>
      <w:r w:rsidRPr="006A2F6D">
        <w:t xml:space="preserve">  The </w:t>
      </w:r>
      <w:proofErr w:type="spellStart"/>
      <w:r w:rsidRPr="006A2F6D">
        <w:t>KidCOPE</w:t>
      </w:r>
      <w:proofErr w:type="spellEnd"/>
      <w:r w:rsidRPr="006A2F6D">
        <w:t xml:space="preserve"> is available on the public domain and may be used by practitioners and researchers at no charge.  For more </w:t>
      </w:r>
      <w:proofErr w:type="gramStart"/>
      <w:r w:rsidRPr="006A2F6D">
        <w:t>information</w:t>
      </w:r>
      <w:proofErr w:type="gramEnd"/>
      <w:r w:rsidRPr="006A2F6D">
        <w:t xml:space="preserve"> please contact the instrument author Anthony Spirito, Ph. D. </w:t>
      </w:r>
      <w:r w:rsidRPr="006A2F6D">
        <w:rPr>
          <w:rFonts w:eastAsiaTheme="minorHAnsi"/>
          <w:color w:val="000000"/>
          <w:szCs w:val="20"/>
        </w:rPr>
        <w:t>Butler Hospital Box G-BH Providence, RI 02912</w:t>
      </w:r>
      <w:r w:rsidRPr="006A2F6D">
        <w:t xml:space="preserve"> or at e-mail address </w:t>
      </w:r>
      <w:r w:rsidRPr="006A2F6D">
        <w:rPr>
          <w:rFonts w:eastAsiaTheme="minorHAnsi"/>
          <w:color w:val="000000"/>
          <w:szCs w:val="20"/>
        </w:rPr>
        <w:t>Anthony_Spirito@Brown.edu.</w:t>
      </w:r>
    </w:p>
    <w:p w14:paraId="7F8AC747" w14:textId="77777777" w:rsidR="008F1E4C" w:rsidRPr="006A2F6D" w:rsidRDefault="008F1E4C" w:rsidP="008F1E4C"/>
    <w:p w14:paraId="0A0BEE79" w14:textId="77777777" w:rsidR="008F1E4C" w:rsidRPr="006A2F6D" w:rsidRDefault="008F1E4C" w:rsidP="008F1E4C">
      <w:pPr>
        <w:rPr>
          <w:b/>
        </w:rPr>
      </w:pPr>
      <w:r w:rsidRPr="006A2F6D">
        <w:rPr>
          <w:b/>
        </w:rPr>
        <w:t>OTHER CITED REFERENCES</w:t>
      </w:r>
    </w:p>
    <w:p w14:paraId="06C85F38" w14:textId="77777777" w:rsidR="008F1E4C" w:rsidRPr="006A2F6D" w:rsidRDefault="008F1E4C" w:rsidP="008F1E4C">
      <w:pPr>
        <w:pStyle w:val="ListParagraph"/>
        <w:numPr>
          <w:ilvl w:val="0"/>
          <w:numId w:val="19"/>
        </w:numPr>
        <w:tabs>
          <w:tab w:val="left" w:pos="7208"/>
          <w:tab w:val="left" w:pos="8690"/>
          <w:tab w:val="left" w:pos="10590"/>
        </w:tabs>
        <w:spacing w:after="0" w:line="240" w:lineRule="auto"/>
        <w:contextualSpacing w:val="0"/>
        <w:rPr>
          <w:rFonts w:ascii="Times New Roman" w:hAnsi="Times New Roman"/>
          <w:b/>
          <w:sz w:val="24"/>
        </w:rPr>
      </w:pPr>
      <w:r w:rsidRPr="006A2F6D">
        <w:rPr>
          <w:rFonts w:ascii="Times New Roman" w:hAnsi="Times New Roman"/>
          <w:sz w:val="24"/>
        </w:rPr>
        <w:t xml:space="preserve">Cheng, S., &amp; Chan, A. M. (2003). Factorial structure of the </w:t>
      </w:r>
      <w:proofErr w:type="spellStart"/>
      <w:r w:rsidRPr="006A2F6D">
        <w:rPr>
          <w:rFonts w:ascii="Times New Roman" w:hAnsi="Times New Roman"/>
          <w:sz w:val="24"/>
        </w:rPr>
        <w:t>KidCOPE</w:t>
      </w:r>
      <w:proofErr w:type="spellEnd"/>
      <w:r w:rsidRPr="006A2F6D">
        <w:rPr>
          <w:rFonts w:ascii="Times New Roman" w:hAnsi="Times New Roman"/>
          <w:sz w:val="24"/>
        </w:rPr>
        <w:t xml:space="preserve"> in Hong Kong adolescents. </w:t>
      </w:r>
      <w:r w:rsidRPr="006A2F6D">
        <w:rPr>
          <w:rFonts w:ascii="Times New Roman" w:hAnsi="Times New Roman"/>
          <w:i/>
          <w:sz w:val="24"/>
        </w:rPr>
        <w:t>The Journal of Genetic Psychology: Research and Theory on Human Development</w:t>
      </w:r>
      <w:r w:rsidRPr="006A2F6D">
        <w:rPr>
          <w:rFonts w:ascii="Times New Roman" w:hAnsi="Times New Roman"/>
          <w:sz w:val="24"/>
        </w:rPr>
        <w:t>, 164(3), 261-266.</w:t>
      </w:r>
    </w:p>
    <w:p w14:paraId="4FF990DA" w14:textId="77777777" w:rsidR="008F1E4C" w:rsidRPr="006A2F6D" w:rsidRDefault="008F1E4C" w:rsidP="008F1E4C">
      <w:pPr>
        <w:numPr>
          <w:ilvl w:val="0"/>
          <w:numId w:val="17"/>
        </w:numPr>
        <w:autoSpaceDE w:val="0"/>
        <w:autoSpaceDN w:val="0"/>
        <w:adjustRightInd w:val="0"/>
        <w:ind w:left="360"/>
        <w:rPr>
          <w:rFonts w:eastAsia="Calibri"/>
        </w:rPr>
      </w:pPr>
      <w:proofErr w:type="spellStart"/>
      <w:r w:rsidRPr="006A2F6D">
        <w:t>Jeney</w:t>
      </w:r>
      <w:proofErr w:type="spellEnd"/>
      <w:r w:rsidRPr="006A2F6D">
        <w:t xml:space="preserve">-Gammon, P., Daugherty, T. K., Finch, A. J., &amp; Belter, R. W. (1993). Children's coping styles and report of depressive symptoms following a natural disaster. </w:t>
      </w:r>
      <w:r w:rsidRPr="006A2F6D">
        <w:rPr>
          <w:i/>
        </w:rPr>
        <w:t>The Journal of Genetic Psychology: Research and Theory on Human Development</w:t>
      </w:r>
      <w:r w:rsidRPr="006A2F6D">
        <w:t>, 154(2), 259-267.</w:t>
      </w:r>
    </w:p>
    <w:p w14:paraId="3436ED2A" w14:textId="77777777" w:rsidR="008F1E4C" w:rsidRPr="006A2F6D" w:rsidRDefault="008F1E4C" w:rsidP="008F1E4C">
      <w:pPr>
        <w:numPr>
          <w:ilvl w:val="0"/>
          <w:numId w:val="17"/>
        </w:numPr>
        <w:autoSpaceDE w:val="0"/>
        <w:autoSpaceDN w:val="0"/>
        <w:adjustRightInd w:val="0"/>
        <w:ind w:left="360"/>
        <w:rPr>
          <w:rFonts w:eastAsia="Calibri"/>
        </w:rPr>
      </w:pPr>
      <w:proofErr w:type="spellStart"/>
      <w:r w:rsidRPr="006A2F6D">
        <w:t>Orban</w:t>
      </w:r>
      <w:proofErr w:type="spellEnd"/>
      <w:r w:rsidRPr="006A2F6D">
        <w:t xml:space="preserve">, L. A., Stein, R., Koenig, L. J., Conner, L. C., </w:t>
      </w:r>
      <w:proofErr w:type="spellStart"/>
      <w:r w:rsidRPr="006A2F6D">
        <w:t>Rexhouse</w:t>
      </w:r>
      <w:proofErr w:type="spellEnd"/>
      <w:r w:rsidRPr="006A2F6D">
        <w:t xml:space="preserve">, E. L., Lewis, J. V., &amp; LaGrange, R. (2010). Coping strategies of adolescents living with HIV: Disease-specific stressors and responses. </w:t>
      </w:r>
      <w:r w:rsidRPr="006A2F6D">
        <w:rPr>
          <w:i/>
        </w:rPr>
        <w:t>AIDS Care</w:t>
      </w:r>
      <w:r w:rsidRPr="006A2F6D">
        <w:t>, 22(4), 420-430.</w:t>
      </w:r>
      <w:r w:rsidRPr="006A2F6D">
        <w:rPr>
          <w:rFonts w:eastAsia="Calibri"/>
        </w:rPr>
        <w:t xml:space="preserve"> </w:t>
      </w:r>
    </w:p>
    <w:p w14:paraId="3A35224D" w14:textId="77777777" w:rsidR="008F1E4C" w:rsidRPr="006A2F6D" w:rsidRDefault="008F1E4C" w:rsidP="008F1E4C">
      <w:pPr>
        <w:numPr>
          <w:ilvl w:val="0"/>
          <w:numId w:val="17"/>
        </w:numPr>
        <w:autoSpaceDE w:val="0"/>
        <w:autoSpaceDN w:val="0"/>
        <w:adjustRightInd w:val="0"/>
        <w:ind w:left="360"/>
        <w:rPr>
          <w:rFonts w:eastAsia="Calibri"/>
        </w:rPr>
      </w:pPr>
      <w:proofErr w:type="spellStart"/>
      <w:r w:rsidRPr="006A2F6D">
        <w:t>Paardekooper</w:t>
      </w:r>
      <w:proofErr w:type="spellEnd"/>
      <w:r w:rsidRPr="006A2F6D">
        <w:t xml:space="preserve">, B. B., de Jong, J. M., &amp; </w:t>
      </w:r>
      <w:proofErr w:type="spellStart"/>
      <w:r w:rsidRPr="006A2F6D">
        <w:t>Hermanns</w:t>
      </w:r>
      <w:proofErr w:type="spellEnd"/>
      <w:r w:rsidRPr="006A2F6D">
        <w:t xml:space="preserve">, J. A. (1999). The psychological impact of war and the refugee situation on South Sudanese children in refugee camps in Northern Uganda: An exploratory study. </w:t>
      </w:r>
      <w:r w:rsidRPr="006A2F6D">
        <w:rPr>
          <w:i/>
        </w:rPr>
        <w:t>Journal of Child Psychology and Psychiatry</w:t>
      </w:r>
      <w:r w:rsidRPr="006A2F6D">
        <w:t>, 40(4), 529-536.</w:t>
      </w:r>
    </w:p>
    <w:p w14:paraId="2371A6BC" w14:textId="77777777" w:rsidR="008F1E4C" w:rsidRPr="006A2F6D" w:rsidRDefault="008F1E4C" w:rsidP="008F1E4C">
      <w:pPr>
        <w:numPr>
          <w:ilvl w:val="0"/>
          <w:numId w:val="17"/>
        </w:numPr>
        <w:autoSpaceDE w:val="0"/>
        <w:autoSpaceDN w:val="0"/>
        <w:adjustRightInd w:val="0"/>
        <w:ind w:left="360"/>
        <w:rPr>
          <w:rFonts w:eastAsia="Calibri"/>
        </w:rPr>
      </w:pPr>
      <w:r w:rsidRPr="006A2F6D">
        <w:t xml:space="preserve">Spirito, A. (1996). Commentary: Pitfalls in the use of brief screening measures of coping. </w:t>
      </w:r>
      <w:r w:rsidRPr="006A2F6D">
        <w:rPr>
          <w:i/>
        </w:rPr>
        <w:t>Journal of Pediatric Psychology</w:t>
      </w:r>
      <w:r w:rsidRPr="006A2F6D">
        <w:t>, 21(4), 573-575.</w:t>
      </w:r>
      <w:r w:rsidRPr="006A2F6D">
        <w:rPr>
          <w:rFonts w:eastAsia="Calibri"/>
        </w:rPr>
        <w:t xml:space="preserve"> </w:t>
      </w:r>
    </w:p>
    <w:p w14:paraId="5A164E11" w14:textId="77777777" w:rsidR="008F1E4C" w:rsidRPr="006A2F6D" w:rsidRDefault="008F1E4C" w:rsidP="008F1E4C">
      <w:pPr>
        <w:numPr>
          <w:ilvl w:val="0"/>
          <w:numId w:val="17"/>
        </w:numPr>
        <w:autoSpaceDE w:val="0"/>
        <w:autoSpaceDN w:val="0"/>
        <w:adjustRightInd w:val="0"/>
        <w:ind w:left="360"/>
      </w:pPr>
      <w:r w:rsidRPr="006A2F6D">
        <w:t xml:space="preserve">Spirito, A., </w:t>
      </w:r>
      <w:proofErr w:type="spellStart"/>
      <w:r w:rsidRPr="006A2F6D">
        <w:t>Overholser</w:t>
      </w:r>
      <w:proofErr w:type="spellEnd"/>
      <w:r w:rsidRPr="006A2F6D">
        <w:t xml:space="preserve">, J. C., &amp; Stark, L. J. (1989). Common problems and coping strategies: II. Findings with adolescent suicide attempters. </w:t>
      </w:r>
      <w:r w:rsidRPr="006A2F6D">
        <w:rPr>
          <w:i/>
        </w:rPr>
        <w:t>Journal of Abnormal Child Psychology: An official publication of the International Society for Research in Child and Adolescent Psychopathology</w:t>
      </w:r>
      <w:r w:rsidRPr="006A2F6D">
        <w:t xml:space="preserve">, 17(2), 213-221. </w:t>
      </w:r>
    </w:p>
    <w:p w14:paraId="24BDBEDD" w14:textId="77777777" w:rsidR="008F1E4C" w:rsidRPr="006A2F6D" w:rsidRDefault="008F1E4C" w:rsidP="008F1E4C">
      <w:pPr>
        <w:numPr>
          <w:ilvl w:val="0"/>
          <w:numId w:val="17"/>
        </w:numPr>
        <w:autoSpaceDE w:val="0"/>
        <w:autoSpaceDN w:val="0"/>
        <w:adjustRightInd w:val="0"/>
        <w:ind w:left="360"/>
      </w:pPr>
      <w:r w:rsidRPr="006A2F6D">
        <w:t xml:space="preserve">Spirito, A., Stark, L. J., &amp; </w:t>
      </w:r>
      <w:proofErr w:type="spellStart"/>
      <w:r w:rsidRPr="006A2F6D">
        <w:t>Tyc</w:t>
      </w:r>
      <w:proofErr w:type="spellEnd"/>
      <w:r w:rsidRPr="006A2F6D">
        <w:t xml:space="preserve">, V. L. (1994). Stressors and coping strategies described during hospitalization by chronically ill children. </w:t>
      </w:r>
      <w:r w:rsidRPr="006A2F6D">
        <w:rPr>
          <w:i/>
        </w:rPr>
        <w:t>Journal of Clinical Child Psychology</w:t>
      </w:r>
      <w:r w:rsidRPr="006A2F6D">
        <w:t>, 23(3), 314-322.</w:t>
      </w:r>
    </w:p>
    <w:p w14:paraId="1E4FF237" w14:textId="77777777" w:rsidR="008F1E4C" w:rsidRPr="006A2F6D" w:rsidRDefault="008F1E4C" w:rsidP="008F1E4C">
      <w:pPr>
        <w:numPr>
          <w:ilvl w:val="0"/>
          <w:numId w:val="17"/>
        </w:numPr>
        <w:autoSpaceDE w:val="0"/>
        <w:autoSpaceDN w:val="0"/>
        <w:adjustRightInd w:val="0"/>
        <w:ind w:left="360"/>
      </w:pPr>
      <w:r w:rsidRPr="006A2F6D">
        <w:t xml:space="preserve">Stallard, P., Velleman, R. R., Langsford, J. J., &amp; Baldwin, S. S. (2001). Coping and psychological distress in children involved in road traffic accidents. </w:t>
      </w:r>
      <w:r w:rsidRPr="006A2F6D">
        <w:rPr>
          <w:i/>
        </w:rPr>
        <w:t>British Journal of Clinical Psychology</w:t>
      </w:r>
      <w:r w:rsidRPr="006A2F6D">
        <w:t>, 40(2), 197-208.</w:t>
      </w:r>
    </w:p>
    <w:p w14:paraId="7C0BD7DB" w14:textId="77777777" w:rsidR="008F1E4C" w:rsidRPr="006A2F6D" w:rsidRDefault="008F1E4C" w:rsidP="008F1E4C">
      <w:pPr>
        <w:numPr>
          <w:ilvl w:val="0"/>
          <w:numId w:val="17"/>
        </w:numPr>
        <w:autoSpaceDE w:val="0"/>
        <w:autoSpaceDN w:val="0"/>
        <w:adjustRightInd w:val="0"/>
        <w:ind w:left="360"/>
      </w:pPr>
      <w:proofErr w:type="spellStart"/>
      <w:r w:rsidRPr="006A2F6D">
        <w:lastRenderedPageBreak/>
        <w:t>Vernberg</w:t>
      </w:r>
      <w:proofErr w:type="spellEnd"/>
      <w:r w:rsidRPr="006A2F6D">
        <w:t xml:space="preserve">, E. M., La </w:t>
      </w:r>
      <w:proofErr w:type="spellStart"/>
      <w:r w:rsidRPr="006A2F6D">
        <w:t>Greca</w:t>
      </w:r>
      <w:proofErr w:type="spellEnd"/>
      <w:r w:rsidRPr="006A2F6D">
        <w:t xml:space="preserve">, A. M., Silverman, W. K., &amp; </w:t>
      </w:r>
      <w:proofErr w:type="spellStart"/>
      <w:r w:rsidRPr="006A2F6D">
        <w:t>Prinstein</w:t>
      </w:r>
      <w:proofErr w:type="spellEnd"/>
      <w:r w:rsidRPr="006A2F6D">
        <w:t xml:space="preserve">, M. J. (1996). Prediction of posttraumatic stress symptoms in children after Hurricane Andrew. </w:t>
      </w:r>
      <w:r w:rsidRPr="006A2F6D">
        <w:rPr>
          <w:i/>
        </w:rPr>
        <w:t>Journal of Abnormal Psychology</w:t>
      </w:r>
      <w:r w:rsidRPr="006A2F6D">
        <w:t>, 105(2), 237-</w:t>
      </w:r>
      <w:proofErr w:type="gramStart"/>
      <w:r w:rsidRPr="006A2F6D">
        <w:t>248.</w:t>
      </w:r>
      <w:r w:rsidRPr="006A2F6D">
        <w:rPr>
          <w:rFonts w:eastAsiaTheme="minorHAnsi" w:cs="Times"/>
          <w:color w:val="141413"/>
          <w:szCs w:val="16"/>
        </w:rPr>
        <w:t>.</w:t>
      </w:r>
      <w:proofErr w:type="gramEnd"/>
    </w:p>
    <w:p w14:paraId="6D64EF62" w14:textId="77777777" w:rsidR="008F1E4C" w:rsidRPr="006A2F6D" w:rsidRDefault="008F1E4C" w:rsidP="008F1E4C">
      <w:pPr>
        <w:pStyle w:val="ListParagraph"/>
        <w:numPr>
          <w:ilvl w:val="0"/>
          <w:numId w:val="20"/>
        </w:numPr>
        <w:spacing w:after="0" w:line="240" w:lineRule="auto"/>
        <w:contextualSpacing w:val="0"/>
        <w:rPr>
          <w:rFonts w:ascii="Times New Roman" w:eastAsiaTheme="minorHAnsi" w:hAnsi="Times New Roman" w:cs="Times"/>
          <w:color w:val="141413"/>
          <w:sz w:val="24"/>
          <w:szCs w:val="16"/>
        </w:rPr>
      </w:pPr>
      <w:r w:rsidRPr="006A2F6D">
        <w:rPr>
          <w:rFonts w:ascii="Times New Roman" w:hAnsi="Times New Roman"/>
          <w:sz w:val="24"/>
        </w:rPr>
        <w:t xml:space="preserve">Vigna, J. F., Hernandez, B. C., Kelley, M. L., &amp; Gresham, F. M. (2010). Coping behavior in hurricane-affected African American youth: Psychometric properties of the </w:t>
      </w:r>
      <w:proofErr w:type="spellStart"/>
      <w:r w:rsidRPr="006A2F6D">
        <w:rPr>
          <w:rFonts w:ascii="Times New Roman" w:hAnsi="Times New Roman"/>
          <w:sz w:val="24"/>
        </w:rPr>
        <w:t>KidCOPE</w:t>
      </w:r>
      <w:proofErr w:type="spellEnd"/>
      <w:r w:rsidRPr="006A2F6D">
        <w:rPr>
          <w:rFonts w:ascii="Times New Roman" w:hAnsi="Times New Roman"/>
          <w:sz w:val="24"/>
        </w:rPr>
        <w:t xml:space="preserve">. </w:t>
      </w:r>
      <w:r w:rsidRPr="006A2F6D">
        <w:rPr>
          <w:rFonts w:ascii="Times New Roman" w:hAnsi="Times New Roman"/>
          <w:i/>
          <w:sz w:val="24"/>
        </w:rPr>
        <w:t>Journal of Black Psychology</w:t>
      </w:r>
      <w:r w:rsidRPr="006A2F6D">
        <w:rPr>
          <w:rFonts w:ascii="Times New Roman" w:hAnsi="Times New Roman"/>
          <w:sz w:val="24"/>
        </w:rPr>
        <w:t>, 36(1), 98-121.</w:t>
      </w:r>
      <w:r w:rsidRPr="006A2F6D">
        <w:rPr>
          <w:rFonts w:ascii="Times New Roman" w:hAnsi="Times New Roman"/>
          <w:b/>
          <w:sz w:val="24"/>
        </w:rPr>
        <w:t xml:space="preserve"> </w:t>
      </w:r>
    </w:p>
    <w:p w14:paraId="54406222" w14:textId="77777777" w:rsidR="008F1E4C" w:rsidRDefault="008F1E4C" w:rsidP="008F1E4C">
      <w:pPr>
        <w:ind w:left="360"/>
        <w:jc w:val="center"/>
        <w:rPr>
          <w:b/>
        </w:rPr>
      </w:pPr>
    </w:p>
    <w:p w14:paraId="4501A2F8" w14:textId="77777777" w:rsidR="008F1E4C" w:rsidRPr="0019179A" w:rsidRDefault="008F1E4C" w:rsidP="008F1E4C">
      <w:pPr>
        <w:ind w:left="360"/>
        <w:jc w:val="center"/>
      </w:pPr>
      <w:proofErr w:type="spellStart"/>
      <w:r w:rsidRPr="0019179A">
        <w:rPr>
          <w:b/>
        </w:rPr>
        <w:t>Kid</w:t>
      </w:r>
      <w:r>
        <w:rPr>
          <w:b/>
        </w:rPr>
        <w:t>COPE</w:t>
      </w:r>
      <w:proofErr w:type="spellEnd"/>
      <w:r w:rsidRPr="0019179A">
        <w:rPr>
          <w:b/>
        </w:rPr>
        <w:t>-Older Children</w:t>
      </w:r>
    </w:p>
    <w:p w14:paraId="6AD5DE28" w14:textId="77777777" w:rsidR="008F1E4C" w:rsidRPr="00221F88" w:rsidRDefault="008F1E4C" w:rsidP="008F1E4C">
      <w:pPr>
        <w:autoSpaceDE w:val="0"/>
        <w:autoSpaceDN w:val="0"/>
        <w:adjustRightInd w:val="0"/>
      </w:pPr>
    </w:p>
    <w:tbl>
      <w:tblPr>
        <w:tblW w:w="10074" w:type="dxa"/>
        <w:jc w:val="center"/>
        <w:tblLayout w:type="fixed"/>
        <w:tblLook w:val="0000" w:firstRow="0" w:lastRow="0" w:firstColumn="0" w:lastColumn="0" w:noHBand="0" w:noVBand="0"/>
      </w:tblPr>
      <w:tblGrid>
        <w:gridCol w:w="5829"/>
        <w:gridCol w:w="471"/>
        <w:gridCol w:w="472"/>
        <w:gridCol w:w="407"/>
        <w:gridCol w:w="630"/>
        <w:gridCol w:w="378"/>
        <w:gridCol w:w="472"/>
        <w:gridCol w:w="471"/>
        <w:gridCol w:w="472"/>
        <w:gridCol w:w="472"/>
      </w:tblGrid>
      <w:tr w:rsidR="008F1E4C" w:rsidRPr="00686BB1" w14:paraId="04C297D2" w14:textId="77777777">
        <w:trPr>
          <w:jc w:val="center"/>
        </w:trPr>
        <w:tc>
          <w:tcPr>
            <w:tcW w:w="5829" w:type="dxa"/>
          </w:tcPr>
          <w:p w14:paraId="29B88B1C" w14:textId="77777777" w:rsidR="008F1E4C" w:rsidRPr="00686BB1" w:rsidRDefault="008F1E4C" w:rsidP="0009467D"/>
        </w:tc>
        <w:tc>
          <w:tcPr>
            <w:tcW w:w="1980" w:type="dxa"/>
            <w:gridSpan w:val="4"/>
            <w:tcBorders>
              <w:right w:val="single" w:sz="4" w:space="0" w:color="auto"/>
            </w:tcBorders>
          </w:tcPr>
          <w:p w14:paraId="27BD7E46" w14:textId="77777777" w:rsidR="008F1E4C" w:rsidRPr="00686BB1" w:rsidRDefault="008F1E4C" w:rsidP="0009467D">
            <w:pPr>
              <w:jc w:val="center"/>
            </w:pPr>
            <w:r w:rsidRPr="00686BB1">
              <w:t xml:space="preserve">How often did </w:t>
            </w:r>
            <w:r>
              <w:t xml:space="preserve">          </w:t>
            </w:r>
            <w:r w:rsidRPr="00686BB1">
              <w:t>you do this?</w:t>
            </w:r>
          </w:p>
        </w:tc>
        <w:tc>
          <w:tcPr>
            <w:tcW w:w="2265" w:type="dxa"/>
            <w:gridSpan w:val="5"/>
            <w:tcBorders>
              <w:left w:val="single" w:sz="4" w:space="0" w:color="auto"/>
            </w:tcBorders>
            <w:vAlign w:val="center"/>
          </w:tcPr>
          <w:p w14:paraId="2BA219C0" w14:textId="77777777" w:rsidR="008F1E4C" w:rsidRPr="00686BB1" w:rsidRDefault="008F1E4C" w:rsidP="0009467D">
            <w:pPr>
              <w:jc w:val="center"/>
            </w:pPr>
            <w:r w:rsidRPr="00686BB1">
              <w:t>How much did it help?</w:t>
            </w:r>
          </w:p>
        </w:tc>
      </w:tr>
      <w:tr w:rsidR="008F1E4C" w:rsidRPr="00686BB1" w14:paraId="5B8621EB" w14:textId="77777777">
        <w:trPr>
          <w:cantSplit/>
          <w:trHeight w:val="1673"/>
          <w:jc w:val="center"/>
        </w:trPr>
        <w:tc>
          <w:tcPr>
            <w:tcW w:w="5829" w:type="dxa"/>
            <w:tcBorders>
              <w:bottom w:val="single" w:sz="4" w:space="0" w:color="auto"/>
            </w:tcBorders>
            <w:vAlign w:val="center"/>
          </w:tcPr>
          <w:p w14:paraId="38470830" w14:textId="77777777" w:rsidR="008F1E4C" w:rsidRDefault="008F1E4C" w:rsidP="00C7677B">
            <w:pPr>
              <w:rPr>
                <w:sz w:val="22"/>
              </w:rPr>
            </w:pPr>
            <w:r w:rsidRPr="002C24F5">
              <w:rPr>
                <w:b/>
              </w:rPr>
              <w:t>INSTRUCTIONS:</w:t>
            </w:r>
            <w:r w:rsidRPr="00F54618">
              <w:t xml:space="preserve"> </w:t>
            </w:r>
            <w:r>
              <w:rPr>
                <w:sz w:val="22"/>
              </w:rPr>
              <w:t>Please read each item and circle which phrase applies (if any).  Then answer both questions to the right of each item, circling the best answer.</w:t>
            </w:r>
          </w:p>
          <w:p w14:paraId="1811FC6C" w14:textId="77777777" w:rsidR="008F1E4C" w:rsidRPr="00F54618" w:rsidRDefault="008F1E4C" w:rsidP="0009467D"/>
        </w:tc>
        <w:tc>
          <w:tcPr>
            <w:tcW w:w="471" w:type="dxa"/>
            <w:tcBorders>
              <w:bottom w:val="single" w:sz="4" w:space="0" w:color="auto"/>
            </w:tcBorders>
            <w:shd w:val="clear" w:color="auto" w:fill="auto"/>
            <w:textDirection w:val="btLr"/>
          </w:tcPr>
          <w:p w14:paraId="050D6CB1" w14:textId="77777777" w:rsidR="008F1E4C" w:rsidRPr="002C24F5" w:rsidRDefault="008F1E4C" w:rsidP="0009467D">
            <w:pPr>
              <w:ind w:left="113" w:right="113"/>
              <w:rPr>
                <w:sz w:val="20"/>
              </w:rPr>
            </w:pPr>
            <w:r w:rsidRPr="002C24F5">
              <w:rPr>
                <w:sz w:val="20"/>
              </w:rPr>
              <w:t>Not at all</w:t>
            </w:r>
          </w:p>
          <w:p w14:paraId="6F0F7147" w14:textId="77777777" w:rsidR="008F1E4C" w:rsidRPr="002C24F5" w:rsidRDefault="008F1E4C" w:rsidP="0009467D">
            <w:pPr>
              <w:ind w:left="113" w:right="113"/>
              <w:rPr>
                <w:sz w:val="20"/>
              </w:rPr>
            </w:pPr>
          </w:p>
        </w:tc>
        <w:tc>
          <w:tcPr>
            <w:tcW w:w="472" w:type="dxa"/>
            <w:tcBorders>
              <w:bottom w:val="single" w:sz="4" w:space="0" w:color="auto"/>
            </w:tcBorders>
            <w:shd w:val="clear" w:color="auto" w:fill="auto"/>
            <w:textDirection w:val="btLr"/>
          </w:tcPr>
          <w:p w14:paraId="3E79ACBA" w14:textId="77777777" w:rsidR="008F1E4C" w:rsidRPr="002C24F5" w:rsidRDefault="008F1E4C" w:rsidP="0009467D">
            <w:pPr>
              <w:ind w:left="113" w:right="113"/>
              <w:rPr>
                <w:sz w:val="20"/>
              </w:rPr>
            </w:pPr>
            <w:r w:rsidRPr="002C24F5">
              <w:rPr>
                <w:sz w:val="20"/>
              </w:rPr>
              <w:t>Sometimes</w:t>
            </w:r>
          </w:p>
        </w:tc>
        <w:tc>
          <w:tcPr>
            <w:tcW w:w="407" w:type="dxa"/>
            <w:tcBorders>
              <w:bottom w:val="single" w:sz="4" w:space="0" w:color="auto"/>
            </w:tcBorders>
            <w:shd w:val="clear" w:color="auto" w:fill="auto"/>
            <w:textDirection w:val="btLr"/>
          </w:tcPr>
          <w:p w14:paraId="5CE41FD4" w14:textId="77777777" w:rsidR="008F1E4C" w:rsidRPr="002C24F5" w:rsidRDefault="008F1E4C" w:rsidP="0009467D">
            <w:pPr>
              <w:ind w:left="113" w:right="113"/>
              <w:rPr>
                <w:sz w:val="20"/>
              </w:rPr>
            </w:pPr>
            <w:r w:rsidRPr="002C24F5">
              <w:rPr>
                <w:sz w:val="20"/>
              </w:rPr>
              <w:t>A lot of the time</w:t>
            </w:r>
          </w:p>
          <w:p w14:paraId="36A5F410" w14:textId="77777777" w:rsidR="008F1E4C" w:rsidRPr="002C24F5" w:rsidRDefault="008F1E4C" w:rsidP="0009467D">
            <w:pPr>
              <w:ind w:left="113" w:right="113"/>
              <w:rPr>
                <w:sz w:val="20"/>
              </w:rPr>
            </w:pPr>
          </w:p>
        </w:tc>
        <w:tc>
          <w:tcPr>
            <w:tcW w:w="630" w:type="dxa"/>
            <w:tcBorders>
              <w:bottom w:val="single" w:sz="4" w:space="0" w:color="auto"/>
              <w:right w:val="single" w:sz="4" w:space="0" w:color="auto"/>
            </w:tcBorders>
            <w:shd w:val="clear" w:color="auto" w:fill="auto"/>
            <w:textDirection w:val="btLr"/>
          </w:tcPr>
          <w:p w14:paraId="1790E0CF" w14:textId="77777777" w:rsidR="008F1E4C" w:rsidRPr="002C24F5" w:rsidRDefault="008F1E4C" w:rsidP="0009467D">
            <w:pPr>
              <w:ind w:left="113" w:right="113"/>
              <w:rPr>
                <w:sz w:val="20"/>
              </w:rPr>
            </w:pPr>
            <w:r w:rsidRPr="002C24F5">
              <w:rPr>
                <w:sz w:val="20"/>
              </w:rPr>
              <w:t>Almost all the time</w:t>
            </w:r>
          </w:p>
        </w:tc>
        <w:tc>
          <w:tcPr>
            <w:tcW w:w="378" w:type="dxa"/>
            <w:tcBorders>
              <w:left w:val="single" w:sz="4" w:space="0" w:color="auto"/>
              <w:bottom w:val="single" w:sz="4" w:space="0" w:color="auto"/>
            </w:tcBorders>
            <w:shd w:val="clear" w:color="auto" w:fill="auto"/>
            <w:textDirection w:val="btLr"/>
          </w:tcPr>
          <w:p w14:paraId="2C0D1441" w14:textId="77777777" w:rsidR="008F1E4C" w:rsidRPr="002C24F5" w:rsidRDefault="008F1E4C" w:rsidP="0009467D">
            <w:pPr>
              <w:ind w:left="113" w:right="113"/>
              <w:rPr>
                <w:sz w:val="20"/>
              </w:rPr>
            </w:pPr>
            <w:r w:rsidRPr="002C24F5">
              <w:rPr>
                <w:sz w:val="20"/>
              </w:rPr>
              <w:t>Not at all</w:t>
            </w:r>
          </w:p>
          <w:p w14:paraId="0CCEDE27" w14:textId="77777777" w:rsidR="008F1E4C" w:rsidRPr="002C24F5" w:rsidRDefault="008F1E4C" w:rsidP="0009467D">
            <w:pPr>
              <w:ind w:left="113" w:right="113"/>
              <w:rPr>
                <w:sz w:val="20"/>
              </w:rPr>
            </w:pPr>
          </w:p>
        </w:tc>
        <w:tc>
          <w:tcPr>
            <w:tcW w:w="472" w:type="dxa"/>
            <w:tcBorders>
              <w:bottom w:val="single" w:sz="4" w:space="0" w:color="auto"/>
            </w:tcBorders>
            <w:shd w:val="clear" w:color="auto" w:fill="auto"/>
            <w:textDirection w:val="btLr"/>
          </w:tcPr>
          <w:p w14:paraId="772D3E27" w14:textId="77777777" w:rsidR="008F1E4C" w:rsidRPr="002C24F5" w:rsidRDefault="008F1E4C" w:rsidP="0009467D">
            <w:pPr>
              <w:ind w:left="113" w:right="113"/>
              <w:rPr>
                <w:sz w:val="20"/>
              </w:rPr>
            </w:pPr>
            <w:r w:rsidRPr="002C24F5">
              <w:rPr>
                <w:sz w:val="20"/>
              </w:rPr>
              <w:t>A little</w:t>
            </w:r>
          </w:p>
        </w:tc>
        <w:tc>
          <w:tcPr>
            <w:tcW w:w="471" w:type="dxa"/>
            <w:tcBorders>
              <w:bottom w:val="single" w:sz="4" w:space="0" w:color="auto"/>
            </w:tcBorders>
            <w:shd w:val="clear" w:color="auto" w:fill="auto"/>
            <w:textDirection w:val="btLr"/>
          </w:tcPr>
          <w:p w14:paraId="1DB66305" w14:textId="77777777" w:rsidR="008F1E4C" w:rsidRPr="002C24F5" w:rsidRDefault="008F1E4C" w:rsidP="0009467D">
            <w:pPr>
              <w:ind w:left="113" w:right="113"/>
              <w:rPr>
                <w:sz w:val="20"/>
              </w:rPr>
            </w:pPr>
            <w:r w:rsidRPr="002C24F5">
              <w:rPr>
                <w:sz w:val="20"/>
              </w:rPr>
              <w:t>Somewhat</w:t>
            </w:r>
          </w:p>
        </w:tc>
        <w:tc>
          <w:tcPr>
            <w:tcW w:w="472" w:type="dxa"/>
            <w:tcBorders>
              <w:bottom w:val="single" w:sz="4" w:space="0" w:color="auto"/>
            </w:tcBorders>
            <w:shd w:val="clear" w:color="auto" w:fill="auto"/>
            <w:textDirection w:val="btLr"/>
          </w:tcPr>
          <w:p w14:paraId="79016C3D" w14:textId="77777777" w:rsidR="008F1E4C" w:rsidRPr="002C24F5" w:rsidRDefault="008F1E4C" w:rsidP="0009467D">
            <w:pPr>
              <w:ind w:left="113" w:right="113"/>
              <w:rPr>
                <w:sz w:val="20"/>
              </w:rPr>
            </w:pPr>
            <w:r w:rsidRPr="002C24F5">
              <w:rPr>
                <w:sz w:val="20"/>
              </w:rPr>
              <w:t>Pretty much</w:t>
            </w:r>
          </w:p>
        </w:tc>
        <w:tc>
          <w:tcPr>
            <w:tcW w:w="472" w:type="dxa"/>
            <w:tcBorders>
              <w:bottom w:val="single" w:sz="4" w:space="0" w:color="auto"/>
            </w:tcBorders>
            <w:shd w:val="clear" w:color="auto" w:fill="auto"/>
            <w:textDirection w:val="btLr"/>
          </w:tcPr>
          <w:p w14:paraId="46A24D8E" w14:textId="77777777" w:rsidR="008F1E4C" w:rsidRPr="002C24F5" w:rsidRDefault="008F1E4C" w:rsidP="0009467D">
            <w:pPr>
              <w:ind w:left="113" w:right="113"/>
              <w:rPr>
                <w:sz w:val="20"/>
              </w:rPr>
            </w:pPr>
            <w:r w:rsidRPr="002C24F5">
              <w:rPr>
                <w:sz w:val="20"/>
              </w:rPr>
              <w:t>Very Much</w:t>
            </w:r>
          </w:p>
        </w:tc>
      </w:tr>
      <w:tr w:rsidR="008F1E4C" w:rsidRPr="00686BB1" w14:paraId="67238733" w14:textId="77777777">
        <w:trPr>
          <w:trHeight w:val="760"/>
          <w:jc w:val="center"/>
        </w:trPr>
        <w:tc>
          <w:tcPr>
            <w:tcW w:w="5829" w:type="dxa"/>
            <w:tcBorders>
              <w:top w:val="single" w:sz="4" w:space="0" w:color="auto"/>
            </w:tcBorders>
            <w:shd w:val="pct10" w:color="auto" w:fill="auto"/>
            <w:vAlign w:val="center"/>
          </w:tcPr>
          <w:p w14:paraId="43D00C56" w14:textId="77777777" w:rsidR="008F1E4C" w:rsidRPr="00C7677B" w:rsidRDefault="008F1E4C" w:rsidP="00C7677B">
            <w:r w:rsidRPr="00C7677B">
              <w:t>1.  I thought about something else; tried to forget it; and/or went and did something like watch TV or play a game to get it off my mind.</w:t>
            </w:r>
          </w:p>
        </w:tc>
        <w:tc>
          <w:tcPr>
            <w:tcW w:w="471" w:type="dxa"/>
            <w:tcBorders>
              <w:top w:val="single" w:sz="4" w:space="0" w:color="auto"/>
            </w:tcBorders>
            <w:shd w:val="pct10" w:color="auto" w:fill="auto"/>
            <w:vAlign w:val="center"/>
          </w:tcPr>
          <w:p w14:paraId="1F762286" w14:textId="77777777" w:rsidR="008F1E4C" w:rsidRPr="00C7677B" w:rsidRDefault="008F1E4C" w:rsidP="0009467D">
            <w:pPr>
              <w:spacing w:before="120" w:after="60"/>
              <w:jc w:val="center"/>
            </w:pPr>
            <w:r w:rsidRPr="00C7677B">
              <w:t>0</w:t>
            </w:r>
          </w:p>
        </w:tc>
        <w:tc>
          <w:tcPr>
            <w:tcW w:w="472" w:type="dxa"/>
            <w:tcBorders>
              <w:top w:val="single" w:sz="4" w:space="0" w:color="auto"/>
            </w:tcBorders>
            <w:shd w:val="pct10" w:color="auto" w:fill="auto"/>
            <w:vAlign w:val="center"/>
          </w:tcPr>
          <w:p w14:paraId="12173C02" w14:textId="77777777" w:rsidR="008F1E4C" w:rsidRPr="00C7677B" w:rsidRDefault="008F1E4C" w:rsidP="0009467D">
            <w:pPr>
              <w:spacing w:before="120" w:after="60"/>
              <w:jc w:val="center"/>
            </w:pPr>
            <w:r w:rsidRPr="00C7677B">
              <w:t>1</w:t>
            </w:r>
          </w:p>
        </w:tc>
        <w:tc>
          <w:tcPr>
            <w:tcW w:w="407" w:type="dxa"/>
            <w:tcBorders>
              <w:top w:val="single" w:sz="4" w:space="0" w:color="auto"/>
            </w:tcBorders>
            <w:shd w:val="pct10" w:color="auto" w:fill="auto"/>
            <w:vAlign w:val="center"/>
          </w:tcPr>
          <w:p w14:paraId="2065DD97" w14:textId="77777777" w:rsidR="008F1E4C" w:rsidRPr="00C7677B" w:rsidRDefault="008F1E4C" w:rsidP="0009467D">
            <w:pPr>
              <w:spacing w:before="120" w:after="60"/>
              <w:jc w:val="center"/>
            </w:pPr>
            <w:r w:rsidRPr="00C7677B">
              <w:t>2</w:t>
            </w:r>
          </w:p>
        </w:tc>
        <w:tc>
          <w:tcPr>
            <w:tcW w:w="630" w:type="dxa"/>
            <w:tcBorders>
              <w:top w:val="single" w:sz="4" w:space="0" w:color="auto"/>
              <w:right w:val="single" w:sz="4" w:space="0" w:color="auto"/>
            </w:tcBorders>
            <w:shd w:val="pct10" w:color="auto" w:fill="auto"/>
            <w:vAlign w:val="center"/>
          </w:tcPr>
          <w:p w14:paraId="7EF29A8E" w14:textId="77777777" w:rsidR="008F1E4C" w:rsidRPr="00C7677B" w:rsidRDefault="008F1E4C" w:rsidP="0009467D">
            <w:pPr>
              <w:spacing w:before="120" w:after="60"/>
              <w:jc w:val="center"/>
            </w:pPr>
            <w:r w:rsidRPr="00C7677B">
              <w:t>3</w:t>
            </w:r>
          </w:p>
        </w:tc>
        <w:tc>
          <w:tcPr>
            <w:tcW w:w="378" w:type="dxa"/>
            <w:tcBorders>
              <w:top w:val="single" w:sz="4" w:space="0" w:color="auto"/>
              <w:left w:val="single" w:sz="4" w:space="0" w:color="auto"/>
            </w:tcBorders>
            <w:shd w:val="pct10" w:color="auto" w:fill="auto"/>
            <w:vAlign w:val="center"/>
          </w:tcPr>
          <w:p w14:paraId="3C203C56" w14:textId="77777777" w:rsidR="008F1E4C" w:rsidRPr="00C7677B" w:rsidRDefault="008F1E4C" w:rsidP="0009467D">
            <w:pPr>
              <w:spacing w:before="120" w:after="60"/>
              <w:jc w:val="center"/>
            </w:pPr>
            <w:r w:rsidRPr="00C7677B">
              <w:t>0</w:t>
            </w:r>
          </w:p>
        </w:tc>
        <w:tc>
          <w:tcPr>
            <w:tcW w:w="472" w:type="dxa"/>
            <w:tcBorders>
              <w:top w:val="single" w:sz="4" w:space="0" w:color="auto"/>
            </w:tcBorders>
            <w:shd w:val="pct10" w:color="auto" w:fill="auto"/>
            <w:vAlign w:val="center"/>
          </w:tcPr>
          <w:p w14:paraId="3BB787BC" w14:textId="77777777" w:rsidR="008F1E4C" w:rsidRPr="00C7677B" w:rsidRDefault="008F1E4C" w:rsidP="0009467D">
            <w:pPr>
              <w:spacing w:before="120" w:after="60"/>
              <w:jc w:val="center"/>
            </w:pPr>
            <w:r w:rsidRPr="00C7677B">
              <w:t>1</w:t>
            </w:r>
          </w:p>
        </w:tc>
        <w:tc>
          <w:tcPr>
            <w:tcW w:w="471" w:type="dxa"/>
            <w:tcBorders>
              <w:top w:val="single" w:sz="4" w:space="0" w:color="auto"/>
            </w:tcBorders>
            <w:shd w:val="pct10" w:color="auto" w:fill="auto"/>
            <w:vAlign w:val="center"/>
          </w:tcPr>
          <w:p w14:paraId="0ADEFEA2" w14:textId="77777777" w:rsidR="008F1E4C" w:rsidRPr="00C7677B" w:rsidRDefault="008F1E4C" w:rsidP="0009467D">
            <w:pPr>
              <w:spacing w:before="120" w:after="60"/>
              <w:jc w:val="center"/>
            </w:pPr>
            <w:r w:rsidRPr="00C7677B">
              <w:t>2</w:t>
            </w:r>
          </w:p>
        </w:tc>
        <w:tc>
          <w:tcPr>
            <w:tcW w:w="472" w:type="dxa"/>
            <w:tcBorders>
              <w:top w:val="single" w:sz="4" w:space="0" w:color="auto"/>
            </w:tcBorders>
            <w:shd w:val="pct10" w:color="auto" w:fill="auto"/>
            <w:vAlign w:val="center"/>
          </w:tcPr>
          <w:p w14:paraId="27DB3D55" w14:textId="77777777" w:rsidR="008F1E4C" w:rsidRPr="00C7677B" w:rsidRDefault="008F1E4C" w:rsidP="0009467D">
            <w:pPr>
              <w:spacing w:before="120" w:after="60"/>
              <w:jc w:val="center"/>
            </w:pPr>
            <w:r w:rsidRPr="00C7677B">
              <w:t>3</w:t>
            </w:r>
          </w:p>
        </w:tc>
        <w:tc>
          <w:tcPr>
            <w:tcW w:w="472" w:type="dxa"/>
            <w:tcBorders>
              <w:top w:val="single" w:sz="4" w:space="0" w:color="auto"/>
            </w:tcBorders>
            <w:shd w:val="pct10" w:color="auto" w:fill="auto"/>
            <w:vAlign w:val="center"/>
          </w:tcPr>
          <w:p w14:paraId="20CCAD5D" w14:textId="77777777" w:rsidR="008F1E4C" w:rsidRPr="00C7677B" w:rsidRDefault="008F1E4C" w:rsidP="0009467D">
            <w:pPr>
              <w:spacing w:before="120" w:after="60"/>
              <w:jc w:val="center"/>
            </w:pPr>
            <w:r w:rsidRPr="00C7677B">
              <w:t>4</w:t>
            </w:r>
          </w:p>
        </w:tc>
      </w:tr>
      <w:tr w:rsidR="008F1E4C" w:rsidRPr="00686BB1" w14:paraId="656C15F6" w14:textId="77777777">
        <w:trPr>
          <w:trHeight w:val="760"/>
          <w:jc w:val="center"/>
        </w:trPr>
        <w:tc>
          <w:tcPr>
            <w:tcW w:w="5829" w:type="dxa"/>
            <w:shd w:val="clear" w:color="auto" w:fill="auto"/>
            <w:vAlign w:val="center"/>
          </w:tcPr>
          <w:p w14:paraId="59069521" w14:textId="77777777" w:rsidR="008F1E4C" w:rsidRPr="00C7677B" w:rsidRDefault="008F1E4C" w:rsidP="00C7677B">
            <w:r w:rsidRPr="00C7677B">
              <w:t>2.  I stayed away from people; kept my feelings to myself; and just handled the situation on my own.</w:t>
            </w:r>
          </w:p>
        </w:tc>
        <w:tc>
          <w:tcPr>
            <w:tcW w:w="471" w:type="dxa"/>
            <w:shd w:val="clear" w:color="auto" w:fill="auto"/>
            <w:vAlign w:val="center"/>
          </w:tcPr>
          <w:p w14:paraId="6C93F884"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03B1BE84" w14:textId="77777777" w:rsidR="008F1E4C" w:rsidRPr="00C7677B" w:rsidRDefault="008F1E4C" w:rsidP="0009467D">
            <w:pPr>
              <w:spacing w:before="120" w:after="60"/>
              <w:jc w:val="center"/>
            </w:pPr>
            <w:r w:rsidRPr="00C7677B">
              <w:t>1</w:t>
            </w:r>
          </w:p>
        </w:tc>
        <w:tc>
          <w:tcPr>
            <w:tcW w:w="407" w:type="dxa"/>
            <w:shd w:val="clear" w:color="auto" w:fill="auto"/>
            <w:vAlign w:val="center"/>
          </w:tcPr>
          <w:p w14:paraId="54E68A6B"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clear" w:color="auto" w:fill="auto"/>
            <w:vAlign w:val="center"/>
          </w:tcPr>
          <w:p w14:paraId="2B591B1E"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clear" w:color="auto" w:fill="auto"/>
            <w:vAlign w:val="center"/>
          </w:tcPr>
          <w:p w14:paraId="14720520"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753B4B14" w14:textId="77777777" w:rsidR="008F1E4C" w:rsidRPr="00C7677B" w:rsidRDefault="008F1E4C" w:rsidP="0009467D">
            <w:pPr>
              <w:spacing w:before="120" w:after="60"/>
              <w:jc w:val="center"/>
            </w:pPr>
            <w:r w:rsidRPr="00C7677B">
              <w:t>1</w:t>
            </w:r>
          </w:p>
        </w:tc>
        <w:tc>
          <w:tcPr>
            <w:tcW w:w="471" w:type="dxa"/>
            <w:shd w:val="clear" w:color="auto" w:fill="auto"/>
            <w:vAlign w:val="center"/>
          </w:tcPr>
          <w:p w14:paraId="7EBC2FC7" w14:textId="77777777" w:rsidR="008F1E4C" w:rsidRPr="00C7677B" w:rsidRDefault="008F1E4C" w:rsidP="0009467D">
            <w:pPr>
              <w:spacing w:before="120" w:after="60"/>
              <w:jc w:val="center"/>
            </w:pPr>
            <w:r w:rsidRPr="00C7677B">
              <w:t>2</w:t>
            </w:r>
          </w:p>
        </w:tc>
        <w:tc>
          <w:tcPr>
            <w:tcW w:w="472" w:type="dxa"/>
            <w:shd w:val="clear" w:color="auto" w:fill="auto"/>
            <w:vAlign w:val="center"/>
          </w:tcPr>
          <w:p w14:paraId="1481ECB1" w14:textId="77777777" w:rsidR="008F1E4C" w:rsidRPr="00C7677B" w:rsidRDefault="008F1E4C" w:rsidP="0009467D">
            <w:pPr>
              <w:spacing w:before="120" w:after="60"/>
              <w:jc w:val="center"/>
            </w:pPr>
            <w:r w:rsidRPr="00C7677B">
              <w:t>3</w:t>
            </w:r>
          </w:p>
        </w:tc>
        <w:tc>
          <w:tcPr>
            <w:tcW w:w="472" w:type="dxa"/>
            <w:shd w:val="clear" w:color="auto" w:fill="auto"/>
            <w:vAlign w:val="center"/>
          </w:tcPr>
          <w:p w14:paraId="5761FE78" w14:textId="77777777" w:rsidR="008F1E4C" w:rsidRPr="00C7677B" w:rsidRDefault="008F1E4C" w:rsidP="0009467D">
            <w:pPr>
              <w:spacing w:before="120" w:after="60"/>
              <w:jc w:val="center"/>
            </w:pPr>
            <w:r w:rsidRPr="00C7677B">
              <w:t>4</w:t>
            </w:r>
          </w:p>
        </w:tc>
      </w:tr>
      <w:tr w:rsidR="008F1E4C" w:rsidRPr="00686BB1" w14:paraId="098213FA" w14:textId="77777777">
        <w:trPr>
          <w:trHeight w:val="760"/>
          <w:jc w:val="center"/>
        </w:trPr>
        <w:tc>
          <w:tcPr>
            <w:tcW w:w="5829" w:type="dxa"/>
            <w:shd w:val="pct10" w:color="auto" w:fill="auto"/>
            <w:vAlign w:val="center"/>
          </w:tcPr>
          <w:p w14:paraId="7E936C6F" w14:textId="77777777" w:rsidR="008F1E4C" w:rsidRPr="00C7677B" w:rsidRDefault="008F1E4C" w:rsidP="00C7677B">
            <w:r w:rsidRPr="00C7677B">
              <w:t>3.  I tried to see the good side of things and/or concentrated on something good that could come out of the situation.</w:t>
            </w:r>
          </w:p>
        </w:tc>
        <w:tc>
          <w:tcPr>
            <w:tcW w:w="471" w:type="dxa"/>
            <w:shd w:val="pct10" w:color="auto" w:fill="auto"/>
            <w:vAlign w:val="center"/>
          </w:tcPr>
          <w:p w14:paraId="78B3D801"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26729DF8" w14:textId="77777777" w:rsidR="008F1E4C" w:rsidRPr="00C7677B" w:rsidRDefault="008F1E4C" w:rsidP="0009467D">
            <w:pPr>
              <w:spacing w:before="120" w:after="60"/>
              <w:jc w:val="center"/>
            </w:pPr>
            <w:r w:rsidRPr="00C7677B">
              <w:t>1</w:t>
            </w:r>
          </w:p>
        </w:tc>
        <w:tc>
          <w:tcPr>
            <w:tcW w:w="407" w:type="dxa"/>
            <w:shd w:val="pct10" w:color="auto" w:fill="auto"/>
            <w:vAlign w:val="center"/>
          </w:tcPr>
          <w:p w14:paraId="1622F376"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pct10" w:color="auto" w:fill="auto"/>
            <w:vAlign w:val="center"/>
          </w:tcPr>
          <w:p w14:paraId="55E2AA77"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pct10" w:color="auto" w:fill="auto"/>
            <w:vAlign w:val="center"/>
          </w:tcPr>
          <w:p w14:paraId="73B284B3"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2299AF54" w14:textId="77777777" w:rsidR="008F1E4C" w:rsidRPr="00C7677B" w:rsidRDefault="008F1E4C" w:rsidP="0009467D">
            <w:pPr>
              <w:spacing w:before="120" w:after="60"/>
              <w:jc w:val="center"/>
            </w:pPr>
            <w:r w:rsidRPr="00C7677B">
              <w:t>1</w:t>
            </w:r>
          </w:p>
        </w:tc>
        <w:tc>
          <w:tcPr>
            <w:tcW w:w="471" w:type="dxa"/>
            <w:shd w:val="pct10" w:color="auto" w:fill="auto"/>
            <w:vAlign w:val="center"/>
          </w:tcPr>
          <w:p w14:paraId="7CE7FD5B" w14:textId="77777777" w:rsidR="008F1E4C" w:rsidRPr="00C7677B" w:rsidRDefault="008F1E4C" w:rsidP="0009467D">
            <w:pPr>
              <w:spacing w:before="120" w:after="60"/>
              <w:jc w:val="center"/>
            </w:pPr>
            <w:r w:rsidRPr="00C7677B">
              <w:t>2</w:t>
            </w:r>
          </w:p>
        </w:tc>
        <w:tc>
          <w:tcPr>
            <w:tcW w:w="472" w:type="dxa"/>
            <w:shd w:val="pct10" w:color="auto" w:fill="auto"/>
            <w:vAlign w:val="center"/>
          </w:tcPr>
          <w:p w14:paraId="6AEF9613" w14:textId="77777777" w:rsidR="008F1E4C" w:rsidRPr="00C7677B" w:rsidRDefault="008F1E4C" w:rsidP="0009467D">
            <w:pPr>
              <w:spacing w:before="120" w:after="60"/>
              <w:jc w:val="center"/>
            </w:pPr>
            <w:r w:rsidRPr="00C7677B">
              <w:t>3</w:t>
            </w:r>
          </w:p>
        </w:tc>
        <w:tc>
          <w:tcPr>
            <w:tcW w:w="472" w:type="dxa"/>
            <w:shd w:val="pct10" w:color="auto" w:fill="auto"/>
            <w:vAlign w:val="center"/>
          </w:tcPr>
          <w:p w14:paraId="045D4739" w14:textId="77777777" w:rsidR="008F1E4C" w:rsidRPr="00C7677B" w:rsidRDefault="008F1E4C" w:rsidP="0009467D">
            <w:pPr>
              <w:spacing w:before="120" w:after="60"/>
              <w:jc w:val="center"/>
            </w:pPr>
            <w:r w:rsidRPr="00C7677B">
              <w:t>4</w:t>
            </w:r>
          </w:p>
        </w:tc>
      </w:tr>
      <w:tr w:rsidR="008F1E4C" w:rsidRPr="00686BB1" w14:paraId="3EB171E8" w14:textId="77777777">
        <w:trPr>
          <w:trHeight w:val="760"/>
          <w:jc w:val="center"/>
        </w:trPr>
        <w:tc>
          <w:tcPr>
            <w:tcW w:w="5829" w:type="dxa"/>
            <w:shd w:val="clear" w:color="auto" w:fill="auto"/>
            <w:vAlign w:val="center"/>
          </w:tcPr>
          <w:p w14:paraId="5E450F1F" w14:textId="77777777" w:rsidR="008F1E4C" w:rsidRPr="00C7677B" w:rsidRDefault="008F1E4C" w:rsidP="00C7677B">
            <w:r w:rsidRPr="00C7677B">
              <w:t>4.  I realized I brought the problem on myself and blamed myself for causing it.</w:t>
            </w:r>
          </w:p>
        </w:tc>
        <w:tc>
          <w:tcPr>
            <w:tcW w:w="471" w:type="dxa"/>
            <w:shd w:val="clear" w:color="auto" w:fill="auto"/>
            <w:vAlign w:val="center"/>
          </w:tcPr>
          <w:p w14:paraId="1A620609"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3D8E3EB8" w14:textId="77777777" w:rsidR="008F1E4C" w:rsidRPr="00C7677B" w:rsidRDefault="008F1E4C" w:rsidP="0009467D">
            <w:pPr>
              <w:spacing w:before="120" w:after="60"/>
              <w:jc w:val="center"/>
            </w:pPr>
            <w:r w:rsidRPr="00C7677B">
              <w:t>1</w:t>
            </w:r>
          </w:p>
        </w:tc>
        <w:tc>
          <w:tcPr>
            <w:tcW w:w="407" w:type="dxa"/>
            <w:shd w:val="clear" w:color="auto" w:fill="auto"/>
            <w:vAlign w:val="center"/>
          </w:tcPr>
          <w:p w14:paraId="1508DC35"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clear" w:color="auto" w:fill="auto"/>
            <w:vAlign w:val="center"/>
          </w:tcPr>
          <w:p w14:paraId="0FF49C0C"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clear" w:color="auto" w:fill="auto"/>
            <w:vAlign w:val="center"/>
          </w:tcPr>
          <w:p w14:paraId="36133414"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19C1B431" w14:textId="77777777" w:rsidR="008F1E4C" w:rsidRPr="00C7677B" w:rsidRDefault="008F1E4C" w:rsidP="0009467D">
            <w:pPr>
              <w:spacing w:before="120" w:after="60"/>
              <w:jc w:val="center"/>
            </w:pPr>
            <w:r w:rsidRPr="00C7677B">
              <w:t>1</w:t>
            </w:r>
          </w:p>
        </w:tc>
        <w:tc>
          <w:tcPr>
            <w:tcW w:w="471" w:type="dxa"/>
            <w:shd w:val="clear" w:color="auto" w:fill="auto"/>
            <w:vAlign w:val="center"/>
          </w:tcPr>
          <w:p w14:paraId="372A75DF" w14:textId="77777777" w:rsidR="008F1E4C" w:rsidRPr="00C7677B" w:rsidRDefault="008F1E4C" w:rsidP="0009467D">
            <w:pPr>
              <w:spacing w:before="120" w:after="60"/>
              <w:jc w:val="center"/>
            </w:pPr>
            <w:r w:rsidRPr="00C7677B">
              <w:t>2</w:t>
            </w:r>
          </w:p>
        </w:tc>
        <w:tc>
          <w:tcPr>
            <w:tcW w:w="472" w:type="dxa"/>
            <w:shd w:val="clear" w:color="auto" w:fill="auto"/>
            <w:vAlign w:val="center"/>
          </w:tcPr>
          <w:p w14:paraId="72F8BD15" w14:textId="77777777" w:rsidR="008F1E4C" w:rsidRPr="00C7677B" w:rsidRDefault="008F1E4C" w:rsidP="0009467D">
            <w:pPr>
              <w:spacing w:before="120" w:after="60"/>
              <w:jc w:val="center"/>
            </w:pPr>
            <w:r w:rsidRPr="00C7677B">
              <w:t>3</w:t>
            </w:r>
          </w:p>
        </w:tc>
        <w:tc>
          <w:tcPr>
            <w:tcW w:w="472" w:type="dxa"/>
            <w:shd w:val="clear" w:color="auto" w:fill="auto"/>
            <w:vAlign w:val="center"/>
          </w:tcPr>
          <w:p w14:paraId="4B7ABCFF" w14:textId="77777777" w:rsidR="008F1E4C" w:rsidRPr="00C7677B" w:rsidRDefault="008F1E4C" w:rsidP="0009467D">
            <w:pPr>
              <w:spacing w:before="120" w:after="60"/>
              <w:jc w:val="center"/>
            </w:pPr>
            <w:r w:rsidRPr="00C7677B">
              <w:t>4</w:t>
            </w:r>
          </w:p>
        </w:tc>
      </w:tr>
      <w:tr w:rsidR="008F1E4C" w:rsidRPr="00686BB1" w14:paraId="4B8EF7B9" w14:textId="77777777">
        <w:trPr>
          <w:trHeight w:val="760"/>
          <w:jc w:val="center"/>
        </w:trPr>
        <w:tc>
          <w:tcPr>
            <w:tcW w:w="5829" w:type="dxa"/>
            <w:shd w:val="pct10" w:color="auto" w:fill="auto"/>
            <w:vAlign w:val="center"/>
          </w:tcPr>
          <w:p w14:paraId="386BA101" w14:textId="77777777" w:rsidR="008F1E4C" w:rsidRPr="00C7677B" w:rsidRDefault="008F1E4C" w:rsidP="00C7677B">
            <w:r w:rsidRPr="00C7677B">
              <w:t>5.  I realized that someone else caused the problem and blamed them for making me go through this.</w:t>
            </w:r>
          </w:p>
        </w:tc>
        <w:tc>
          <w:tcPr>
            <w:tcW w:w="471" w:type="dxa"/>
            <w:shd w:val="pct10" w:color="auto" w:fill="auto"/>
            <w:vAlign w:val="center"/>
          </w:tcPr>
          <w:p w14:paraId="140C8765"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3FB2F3F9" w14:textId="77777777" w:rsidR="008F1E4C" w:rsidRPr="00C7677B" w:rsidRDefault="008F1E4C" w:rsidP="0009467D">
            <w:pPr>
              <w:spacing w:before="120" w:after="60"/>
              <w:jc w:val="center"/>
            </w:pPr>
            <w:r w:rsidRPr="00C7677B">
              <w:t>1</w:t>
            </w:r>
          </w:p>
        </w:tc>
        <w:tc>
          <w:tcPr>
            <w:tcW w:w="407" w:type="dxa"/>
            <w:shd w:val="pct10" w:color="auto" w:fill="auto"/>
            <w:vAlign w:val="center"/>
          </w:tcPr>
          <w:p w14:paraId="4F467FD5"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pct10" w:color="auto" w:fill="auto"/>
            <w:vAlign w:val="center"/>
          </w:tcPr>
          <w:p w14:paraId="5EA2E931"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pct10" w:color="auto" w:fill="auto"/>
            <w:vAlign w:val="center"/>
          </w:tcPr>
          <w:p w14:paraId="2AD8DC56"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5C89996B" w14:textId="77777777" w:rsidR="008F1E4C" w:rsidRPr="00C7677B" w:rsidRDefault="008F1E4C" w:rsidP="0009467D">
            <w:pPr>
              <w:spacing w:before="120" w:after="60"/>
              <w:jc w:val="center"/>
            </w:pPr>
            <w:r w:rsidRPr="00C7677B">
              <w:t>1</w:t>
            </w:r>
          </w:p>
        </w:tc>
        <w:tc>
          <w:tcPr>
            <w:tcW w:w="471" w:type="dxa"/>
            <w:shd w:val="pct10" w:color="auto" w:fill="auto"/>
            <w:vAlign w:val="center"/>
          </w:tcPr>
          <w:p w14:paraId="25CF9755" w14:textId="77777777" w:rsidR="008F1E4C" w:rsidRPr="00C7677B" w:rsidRDefault="008F1E4C" w:rsidP="0009467D">
            <w:pPr>
              <w:spacing w:before="120" w:after="60"/>
              <w:jc w:val="center"/>
            </w:pPr>
            <w:r w:rsidRPr="00C7677B">
              <w:t>2</w:t>
            </w:r>
          </w:p>
        </w:tc>
        <w:tc>
          <w:tcPr>
            <w:tcW w:w="472" w:type="dxa"/>
            <w:shd w:val="pct10" w:color="auto" w:fill="auto"/>
            <w:vAlign w:val="center"/>
          </w:tcPr>
          <w:p w14:paraId="27ED5C37" w14:textId="77777777" w:rsidR="008F1E4C" w:rsidRPr="00C7677B" w:rsidRDefault="008F1E4C" w:rsidP="0009467D">
            <w:pPr>
              <w:spacing w:before="120" w:after="60"/>
              <w:jc w:val="center"/>
            </w:pPr>
            <w:r w:rsidRPr="00C7677B">
              <w:t>3</w:t>
            </w:r>
          </w:p>
        </w:tc>
        <w:tc>
          <w:tcPr>
            <w:tcW w:w="472" w:type="dxa"/>
            <w:shd w:val="pct10" w:color="auto" w:fill="auto"/>
            <w:vAlign w:val="center"/>
          </w:tcPr>
          <w:p w14:paraId="57F776A2" w14:textId="77777777" w:rsidR="008F1E4C" w:rsidRPr="00C7677B" w:rsidRDefault="008F1E4C" w:rsidP="0009467D">
            <w:pPr>
              <w:spacing w:before="120" w:after="60"/>
              <w:jc w:val="center"/>
            </w:pPr>
            <w:r w:rsidRPr="00C7677B">
              <w:t>4</w:t>
            </w:r>
          </w:p>
        </w:tc>
      </w:tr>
      <w:tr w:rsidR="008F1E4C" w:rsidRPr="00686BB1" w14:paraId="78B5EB6C" w14:textId="77777777">
        <w:trPr>
          <w:trHeight w:val="760"/>
          <w:jc w:val="center"/>
        </w:trPr>
        <w:tc>
          <w:tcPr>
            <w:tcW w:w="5829" w:type="dxa"/>
            <w:shd w:val="clear" w:color="auto" w:fill="auto"/>
            <w:vAlign w:val="center"/>
          </w:tcPr>
          <w:p w14:paraId="46C24A00" w14:textId="77777777" w:rsidR="008F1E4C" w:rsidRPr="00C7677B" w:rsidRDefault="008F1E4C" w:rsidP="00C7677B">
            <w:r w:rsidRPr="00C7677B">
              <w:t xml:space="preserve">6.  I thought of ways to solve the problem; talked to others to get more facts and information about the problem and/or tried to </w:t>
            </w:r>
            <w:proofErr w:type="gramStart"/>
            <w:r w:rsidRPr="00C7677B">
              <w:t>actually solve</w:t>
            </w:r>
            <w:proofErr w:type="gramEnd"/>
            <w:r w:rsidRPr="00C7677B">
              <w:t xml:space="preserve"> the problem.</w:t>
            </w:r>
          </w:p>
        </w:tc>
        <w:tc>
          <w:tcPr>
            <w:tcW w:w="471" w:type="dxa"/>
            <w:shd w:val="clear" w:color="auto" w:fill="auto"/>
            <w:vAlign w:val="center"/>
          </w:tcPr>
          <w:p w14:paraId="269DBB04"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0C1C5A34" w14:textId="77777777" w:rsidR="008F1E4C" w:rsidRPr="00C7677B" w:rsidRDefault="008F1E4C" w:rsidP="0009467D">
            <w:pPr>
              <w:spacing w:before="120" w:after="60"/>
              <w:jc w:val="center"/>
            </w:pPr>
            <w:r w:rsidRPr="00C7677B">
              <w:t>1</w:t>
            </w:r>
          </w:p>
        </w:tc>
        <w:tc>
          <w:tcPr>
            <w:tcW w:w="407" w:type="dxa"/>
            <w:shd w:val="clear" w:color="auto" w:fill="auto"/>
            <w:vAlign w:val="center"/>
          </w:tcPr>
          <w:p w14:paraId="36BD36E3"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clear" w:color="auto" w:fill="auto"/>
            <w:vAlign w:val="center"/>
          </w:tcPr>
          <w:p w14:paraId="13EF6C92"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clear" w:color="auto" w:fill="auto"/>
            <w:vAlign w:val="center"/>
          </w:tcPr>
          <w:p w14:paraId="6324E92A"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1A11DF14" w14:textId="77777777" w:rsidR="008F1E4C" w:rsidRPr="00C7677B" w:rsidRDefault="008F1E4C" w:rsidP="0009467D">
            <w:pPr>
              <w:spacing w:before="120" w:after="60"/>
              <w:jc w:val="center"/>
            </w:pPr>
            <w:r w:rsidRPr="00C7677B">
              <w:t>1</w:t>
            </w:r>
          </w:p>
        </w:tc>
        <w:tc>
          <w:tcPr>
            <w:tcW w:w="471" w:type="dxa"/>
            <w:shd w:val="clear" w:color="auto" w:fill="auto"/>
            <w:vAlign w:val="center"/>
          </w:tcPr>
          <w:p w14:paraId="3AA7CE8B" w14:textId="77777777" w:rsidR="008F1E4C" w:rsidRPr="00C7677B" w:rsidRDefault="008F1E4C" w:rsidP="0009467D">
            <w:pPr>
              <w:spacing w:before="120" w:after="60"/>
              <w:jc w:val="center"/>
            </w:pPr>
            <w:r w:rsidRPr="00C7677B">
              <w:t>2</w:t>
            </w:r>
          </w:p>
        </w:tc>
        <w:tc>
          <w:tcPr>
            <w:tcW w:w="472" w:type="dxa"/>
            <w:shd w:val="clear" w:color="auto" w:fill="auto"/>
            <w:vAlign w:val="center"/>
          </w:tcPr>
          <w:p w14:paraId="52AB80E3" w14:textId="77777777" w:rsidR="008F1E4C" w:rsidRPr="00C7677B" w:rsidRDefault="008F1E4C" w:rsidP="0009467D">
            <w:pPr>
              <w:spacing w:before="120" w:after="60"/>
              <w:jc w:val="center"/>
            </w:pPr>
            <w:r w:rsidRPr="00C7677B">
              <w:t>3</w:t>
            </w:r>
          </w:p>
        </w:tc>
        <w:tc>
          <w:tcPr>
            <w:tcW w:w="472" w:type="dxa"/>
            <w:shd w:val="clear" w:color="auto" w:fill="auto"/>
            <w:vAlign w:val="center"/>
          </w:tcPr>
          <w:p w14:paraId="187C6EDE" w14:textId="77777777" w:rsidR="008F1E4C" w:rsidRPr="00C7677B" w:rsidRDefault="008F1E4C" w:rsidP="0009467D">
            <w:pPr>
              <w:spacing w:before="120" w:after="60"/>
              <w:jc w:val="center"/>
            </w:pPr>
            <w:r w:rsidRPr="00C7677B">
              <w:t>4</w:t>
            </w:r>
          </w:p>
        </w:tc>
      </w:tr>
      <w:tr w:rsidR="008F1E4C" w:rsidRPr="00686BB1" w14:paraId="36BCAD4E" w14:textId="77777777">
        <w:trPr>
          <w:trHeight w:val="760"/>
          <w:jc w:val="center"/>
        </w:trPr>
        <w:tc>
          <w:tcPr>
            <w:tcW w:w="5829" w:type="dxa"/>
            <w:shd w:val="pct10" w:color="auto" w:fill="auto"/>
            <w:vAlign w:val="center"/>
          </w:tcPr>
          <w:p w14:paraId="761597F3" w14:textId="77777777" w:rsidR="008F1E4C" w:rsidRPr="00C7677B" w:rsidRDefault="008F1E4C" w:rsidP="00C7677B">
            <w:r w:rsidRPr="00C7677B">
              <w:t>7a. I talked about how I was feeling; yelled, screamed, or hit something.</w:t>
            </w:r>
          </w:p>
        </w:tc>
        <w:tc>
          <w:tcPr>
            <w:tcW w:w="471" w:type="dxa"/>
            <w:shd w:val="pct10" w:color="auto" w:fill="auto"/>
            <w:vAlign w:val="center"/>
          </w:tcPr>
          <w:p w14:paraId="35734016"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216E5ABE" w14:textId="77777777" w:rsidR="008F1E4C" w:rsidRPr="00C7677B" w:rsidRDefault="008F1E4C" w:rsidP="0009467D">
            <w:pPr>
              <w:spacing w:before="120" w:after="60"/>
              <w:jc w:val="center"/>
            </w:pPr>
            <w:r w:rsidRPr="00C7677B">
              <w:t>1</w:t>
            </w:r>
          </w:p>
        </w:tc>
        <w:tc>
          <w:tcPr>
            <w:tcW w:w="407" w:type="dxa"/>
            <w:shd w:val="pct10" w:color="auto" w:fill="auto"/>
            <w:vAlign w:val="center"/>
          </w:tcPr>
          <w:p w14:paraId="219C0131"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pct10" w:color="auto" w:fill="auto"/>
            <w:vAlign w:val="center"/>
          </w:tcPr>
          <w:p w14:paraId="78E68A4A"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pct10" w:color="auto" w:fill="auto"/>
            <w:vAlign w:val="center"/>
          </w:tcPr>
          <w:p w14:paraId="3F5442C0"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1E91A1FC" w14:textId="77777777" w:rsidR="008F1E4C" w:rsidRPr="00C7677B" w:rsidRDefault="008F1E4C" w:rsidP="0009467D">
            <w:pPr>
              <w:spacing w:before="120" w:after="60"/>
              <w:jc w:val="center"/>
            </w:pPr>
            <w:r w:rsidRPr="00C7677B">
              <w:t>1</w:t>
            </w:r>
          </w:p>
        </w:tc>
        <w:tc>
          <w:tcPr>
            <w:tcW w:w="471" w:type="dxa"/>
            <w:shd w:val="pct10" w:color="auto" w:fill="auto"/>
            <w:vAlign w:val="center"/>
          </w:tcPr>
          <w:p w14:paraId="53FFF90B" w14:textId="77777777" w:rsidR="008F1E4C" w:rsidRPr="00C7677B" w:rsidRDefault="008F1E4C" w:rsidP="0009467D">
            <w:pPr>
              <w:spacing w:before="120" w:after="60"/>
              <w:jc w:val="center"/>
            </w:pPr>
            <w:r w:rsidRPr="00C7677B">
              <w:t>2</w:t>
            </w:r>
          </w:p>
        </w:tc>
        <w:tc>
          <w:tcPr>
            <w:tcW w:w="472" w:type="dxa"/>
            <w:shd w:val="pct10" w:color="auto" w:fill="auto"/>
            <w:vAlign w:val="center"/>
          </w:tcPr>
          <w:p w14:paraId="1E01F330" w14:textId="77777777" w:rsidR="008F1E4C" w:rsidRPr="00C7677B" w:rsidRDefault="008F1E4C" w:rsidP="0009467D">
            <w:pPr>
              <w:spacing w:before="120" w:after="60"/>
              <w:jc w:val="center"/>
            </w:pPr>
            <w:r w:rsidRPr="00C7677B">
              <w:t>3</w:t>
            </w:r>
          </w:p>
        </w:tc>
        <w:tc>
          <w:tcPr>
            <w:tcW w:w="472" w:type="dxa"/>
            <w:shd w:val="pct10" w:color="auto" w:fill="auto"/>
            <w:vAlign w:val="center"/>
          </w:tcPr>
          <w:p w14:paraId="4BDB4A42" w14:textId="77777777" w:rsidR="008F1E4C" w:rsidRPr="00C7677B" w:rsidRDefault="008F1E4C" w:rsidP="0009467D">
            <w:pPr>
              <w:spacing w:before="120" w:after="60"/>
              <w:jc w:val="center"/>
            </w:pPr>
            <w:r w:rsidRPr="00C7677B">
              <w:t>4</w:t>
            </w:r>
          </w:p>
        </w:tc>
      </w:tr>
      <w:tr w:rsidR="008F1E4C" w:rsidRPr="00686BB1" w14:paraId="33261F63" w14:textId="77777777">
        <w:trPr>
          <w:trHeight w:val="760"/>
          <w:jc w:val="center"/>
        </w:trPr>
        <w:tc>
          <w:tcPr>
            <w:tcW w:w="5829" w:type="dxa"/>
            <w:shd w:val="clear" w:color="auto" w:fill="auto"/>
            <w:vAlign w:val="center"/>
          </w:tcPr>
          <w:p w14:paraId="7F514F51" w14:textId="77777777" w:rsidR="008F1E4C" w:rsidRPr="00C7677B" w:rsidRDefault="008F1E4C" w:rsidP="00C7677B">
            <w:r w:rsidRPr="00C7677B">
              <w:t>7b. Tried to calm myself by talking to myself, praying, taking a walk, or just trying to relax</w:t>
            </w:r>
          </w:p>
        </w:tc>
        <w:tc>
          <w:tcPr>
            <w:tcW w:w="471" w:type="dxa"/>
            <w:shd w:val="clear" w:color="auto" w:fill="auto"/>
            <w:vAlign w:val="center"/>
          </w:tcPr>
          <w:p w14:paraId="6D5CC94A"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1BA30742" w14:textId="77777777" w:rsidR="008F1E4C" w:rsidRPr="00C7677B" w:rsidRDefault="008F1E4C" w:rsidP="0009467D">
            <w:pPr>
              <w:spacing w:before="120" w:after="60"/>
              <w:jc w:val="center"/>
            </w:pPr>
            <w:r w:rsidRPr="00C7677B">
              <w:t>1</w:t>
            </w:r>
          </w:p>
        </w:tc>
        <w:tc>
          <w:tcPr>
            <w:tcW w:w="407" w:type="dxa"/>
            <w:shd w:val="clear" w:color="auto" w:fill="auto"/>
            <w:vAlign w:val="center"/>
          </w:tcPr>
          <w:p w14:paraId="585A2DB1"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clear" w:color="auto" w:fill="auto"/>
            <w:vAlign w:val="center"/>
          </w:tcPr>
          <w:p w14:paraId="1697BA6B"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clear" w:color="auto" w:fill="auto"/>
            <w:vAlign w:val="center"/>
          </w:tcPr>
          <w:p w14:paraId="55D7498D"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3F2D8648" w14:textId="77777777" w:rsidR="008F1E4C" w:rsidRPr="00C7677B" w:rsidRDefault="008F1E4C" w:rsidP="0009467D">
            <w:pPr>
              <w:spacing w:before="120" w:after="60"/>
              <w:jc w:val="center"/>
            </w:pPr>
            <w:r w:rsidRPr="00C7677B">
              <w:t>1</w:t>
            </w:r>
          </w:p>
        </w:tc>
        <w:tc>
          <w:tcPr>
            <w:tcW w:w="471" w:type="dxa"/>
            <w:shd w:val="clear" w:color="auto" w:fill="auto"/>
            <w:vAlign w:val="center"/>
          </w:tcPr>
          <w:p w14:paraId="50854CC0" w14:textId="77777777" w:rsidR="008F1E4C" w:rsidRPr="00C7677B" w:rsidRDefault="008F1E4C" w:rsidP="0009467D">
            <w:pPr>
              <w:spacing w:before="120" w:after="60"/>
              <w:jc w:val="center"/>
            </w:pPr>
            <w:r w:rsidRPr="00C7677B">
              <w:t>2</w:t>
            </w:r>
          </w:p>
        </w:tc>
        <w:tc>
          <w:tcPr>
            <w:tcW w:w="472" w:type="dxa"/>
            <w:shd w:val="clear" w:color="auto" w:fill="auto"/>
            <w:vAlign w:val="center"/>
          </w:tcPr>
          <w:p w14:paraId="24DE3E5D" w14:textId="77777777" w:rsidR="008F1E4C" w:rsidRPr="00C7677B" w:rsidRDefault="008F1E4C" w:rsidP="0009467D">
            <w:pPr>
              <w:spacing w:before="120" w:after="60"/>
              <w:jc w:val="center"/>
            </w:pPr>
            <w:r w:rsidRPr="00C7677B">
              <w:t>3</w:t>
            </w:r>
          </w:p>
        </w:tc>
        <w:tc>
          <w:tcPr>
            <w:tcW w:w="472" w:type="dxa"/>
            <w:shd w:val="clear" w:color="auto" w:fill="auto"/>
            <w:vAlign w:val="center"/>
          </w:tcPr>
          <w:p w14:paraId="7D0B3CBD" w14:textId="77777777" w:rsidR="008F1E4C" w:rsidRPr="00C7677B" w:rsidRDefault="008F1E4C" w:rsidP="0009467D">
            <w:pPr>
              <w:spacing w:before="120" w:after="60"/>
              <w:jc w:val="center"/>
            </w:pPr>
            <w:r w:rsidRPr="00C7677B">
              <w:t>4</w:t>
            </w:r>
          </w:p>
        </w:tc>
      </w:tr>
      <w:tr w:rsidR="008F1E4C" w:rsidRPr="00686BB1" w14:paraId="7D893885" w14:textId="77777777">
        <w:trPr>
          <w:trHeight w:val="760"/>
          <w:jc w:val="center"/>
        </w:trPr>
        <w:tc>
          <w:tcPr>
            <w:tcW w:w="5829" w:type="dxa"/>
            <w:shd w:val="pct10" w:color="auto" w:fill="auto"/>
            <w:vAlign w:val="center"/>
          </w:tcPr>
          <w:p w14:paraId="588EF533" w14:textId="77777777" w:rsidR="008F1E4C" w:rsidRPr="00C7677B" w:rsidRDefault="008F1E4C" w:rsidP="00C7677B">
            <w:r w:rsidRPr="00C7677B">
              <w:t>8.  I kept thinking and wishing this had never happened; and/or that I could change what had happened.</w:t>
            </w:r>
          </w:p>
        </w:tc>
        <w:tc>
          <w:tcPr>
            <w:tcW w:w="471" w:type="dxa"/>
            <w:shd w:val="pct10" w:color="auto" w:fill="auto"/>
            <w:vAlign w:val="center"/>
          </w:tcPr>
          <w:p w14:paraId="7F61965E"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5DD2831E" w14:textId="77777777" w:rsidR="008F1E4C" w:rsidRPr="00C7677B" w:rsidRDefault="008F1E4C" w:rsidP="0009467D">
            <w:pPr>
              <w:spacing w:before="120" w:after="60"/>
              <w:jc w:val="center"/>
            </w:pPr>
            <w:r w:rsidRPr="00C7677B">
              <w:t>1</w:t>
            </w:r>
          </w:p>
        </w:tc>
        <w:tc>
          <w:tcPr>
            <w:tcW w:w="407" w:type="dxa"/>
            <w:shd w:val="pct10" w:color="auto" w:fill="auto"/>
            <w:vAlign w:val="center"/>
          </w:tcPr>
          <w:p w14:paraId="6FFCF02F"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pct10" w:color="auto" w:fill="auto"/>
            <w:vAlign w:val="center"/>
          </w:tcPr>
          <w:p w14:paraId="5597368E"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pct10" w:color="auto" w:fill="auto"/>
            <w:vAlign w:val="center"/>
          </w:tcPr>
          <w:p w14:paraId="2514CC9D" w14:textId="77777777" w:rsidR="008F1E4C" w:rsidRPr="00C7677B" w:rsidRDefault="008F1E4C" w:rsidP="0009467D">
            <w:pPr>
              <w:spacing w:before="120" w:after="60"/>
              <w:jc w:val="center"/>
            </w:pPr>
            <w:r w:rsidRPr="00C7677B">
              <w:t>0</w:t>
            </w:r>
          </w:p>
        </w:tc>
        <w:tc>
          <w:tcPr>
            <w:tcW w:w="472" w:type="dxa"/>
            <w:shd w:val="pct10" w:color="auto" w:fill="auto"/>
            <w:vAlign w:val="center"/>
          </w:tcPr>
          <w:p w14:paraId="29FA7383" w14:textId="77777777" w:rsidR="008F1E4C" w:rsidRPr="00C7677B" w:rsidRDefault="008F1E4C" w:rsidP="0009467D">
            <w:pPr>
              <w:spacing w:before="120" w:after="60"/>
              <w:jc w:val="center"/>
            </w:pPr>
            <w:r w:rsidRPr="00C7677B">
              <w:t>1</w:t>
            </w:r>
          </w:p>
        </w:tc>
        <w:tc>
          <w:tcPr>
            <w:tcW w:w="471" w:type="dxa"/>
            <w:shd w:val="pct10" w:color="auto" w:fill="auto"/>
            <w:vAlign w:val="center"/>
          </w:tcPr>
          <w:p w14:paraId="082E1F37" w14:textId="77777777" w:rsidR="008F1E4C" w:rsidRPr="00C7677B" w:rsidRDefault="008F1E4C" w:rsidP="0009467D">
            <w:pPr>
              <w:spacing w:before="120" w:after="60"/>
              <w:jc w:val="center"/>
            </w:pPr>
            <w:r w:rsidRPr="00C7677B">
              <w:t>2</w:t>
            </w:r>
          </w:p>
        </w:tc>
        <w:tc>
          <w:tcPr>
            <w:tcW w:w="472" w:type="dxa"/>
            <w:shd w:val="pct10" w:color="auto" w:fill="auto"/>
            <w:vAlign w:val="center"/>
          </w:tcPr>
          <w:p w14:paraId="6C70446A" w14:textId="77777777" w:rsidR="008F1E4C" w:rsidRPr="00C7677B" w:rsidRDefault="008F1E4C" w:rsidP="0009467D">
            <w:pPr>
              <w:spacing w:before="120" w:after="60"/>
              <w:jc w:val="center"/>
            </w:pPr>
            <w:r w:rsidRPr="00C7677B">
              <w:t>3</w:t>
            </w:r>
          </w:p>
        </w:tc>
        <w:tc>
          <w:tcPr>
            <w:tcW w:w="472" w:type="dxa"/>
            <w:shd w:val="pct10" w:color="auto" w:fill="auto"/>
            <w:vAlign w:val="center"/>
          </w:tcPr>
          <w:p w14:paraId="29FD82A2" w14:textId="77777777" w:rsidR="008F1E4C" w:rsidRPr="00C7677B" w:rsidRDefault="008F1E4C" w:rsidP="0009467D">
            <w:pPr>
              <w:spacing w:before="120" w:after="60"/>
              <w:jc w:val="center"/>
            </w:pPr>
            <w:r w:rsidRPr="00C7677B">
              <w:t>4</w:t>
            </w:r>
          </w:p>
        </w:tc>
      </w:tr>
      <w:tr w:rsidR="008F1E4C" w:rsidRPr="00686BB1" w14:paraId="0213DFDE" w14:textId="77777777">
        <w:trPr>
          <w:trHeight w:val="760"/>
          <w:jc w:val="center"/>
        </w:trPr>
        <w:tc>
          <w:tcPr>
            <w:tcW w:w="5829" w:type="dxa"/>
            <w:shd w:val="clear" w:color="auto" w:fill="auto"/>
            <w:vAlign w:val="center"/>
          </w:tcPr>
          <w:p w14:paraId="144A44F3" w14:textId="77777777" w:rsidR="008F1E4C" w:rsidRPr="00C7677B" w:rsidRDefault="008F1E4C" w:rsidP="00C7677B">
            <w:r w:rsidRPr="00C7677B">
              <w:t>9.  Turned to my family, friends, or other adults to help me feel better.</w:t>
            </w:r>
          </w:p>
        </w:tc>
        <w:tc>
          <w:tcPr>
            <w:tcW w:w="471" w:type="dxa"/>
            <w:shd w:val="clear" w:color="auto" w:fill="auto"/>
            <w:vAlign w:val="center"/>
          </w:tcPr>
          <w:p w14:paraId="0043D0DC"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44B02C56" w14:textId="77777777" w:rsidR="008F1E4C" w:rsidRPr="00C7677B" w:rsidRDefault="008F1E4C" w:rsidP="0009467D">
            <w:pPr>
              <w:spacing w:before="120" w:after="60"/>
              <w:jc w:val="center"/>
            </w:pPr>
            <w:r w:rsidRPr="00C7677B">
              <w:t>1</w:t>
            </w:r>
          </w:p>
        </w:tc>
        <w:tc>
          <w:tcPr>
            <w:tcW w:w="407" w:type="dxa"/>
            <w:shd w:val="clear" w:color="auto" w:fill="auto"/>
            <w:vAlign w:val="center"/>
          </w:tcPr>
          <w:p w14:paraId="35A1C3B9" w14:textId="77777777" w:rsidR="008F1E4C" w:rsidRPr="00C7677B" w:rsidRDefault="008F1E4C" w:rsidP="0009467D">
            <w:pPr>
              <w:spacing w:before="120" w:after="60"/>
              <w:jc w:val="center"/>
            </w:pPr>
            <w:r w:rsidRPr="00C7677B">
              <w:t>2</w:t>
            </w:r>
          </w:p>
        </w:tc>
        <w:tc>
          <w:tcPr>
            <w:tcW w:w="630" w:type="dxa"/>
            <w:tcBorders>
              <w:right w:val="single" w:sz="4" w:space="0" w:color="auto"/>
            </w:tcBorders>
            <w:shd w:val="clear" w:color="auto" w:fill="auto"/>
            <w:vAlign w:val="center"/>
          </w:tcPr>
          <w:p w14:paraId="19DE6853" w14:textId="77777777" w:rsidR="008F1E4C" w:rsidRPr="00C7677B" w:rsidRDefault="008F1E4C" w:rsidP="0009467D">
            <w:pPr>
              <w:spacing w:before="120" w:after="60"/>
              <w:jc w:val="center"/>
            </w:pPr>
            <w:r w:rsidRPr="00C7677B">
              <w:t>3</w:t>
            </w:r>
          </w:p>
        </w:tc>
        <w:tc>
          <w:tcPr>
            <w:tcW w:w="378" w:type="dxa"/>
            <w:tcBorders>
              <w:left w:val="single" w:sz="4" w:space="0" w:color="auto"/>
            </w:tcBorders>
            <w:shd w:val="clear" w:color="auto" w:fill="auto"/>
            <w:vAlign w:val="center"/>
          </w:tcPr>
          <w:p w14:paraId="04550302" w14:textId="77777777" w:rsidR="008F1E4C" w:rsidRPr="00C7677B" w:rsidRDefault="008F1E4C" w:rsidP="0009467D">
            <w:pPr>
              <w:spacing w:before="120" w:after="60"/>
              <w:jc w:val="center"/>
            </w:pPr>
            <w:r w:rsidRPr="00C7677B">
              <w:t>0</w:t>
            </w:r>
          </w:p>
        </w:tc>
        <w:tc>
          <w:tcPr>
            <w:tcW w:w="472" w:type="dxa"/>
            <w:shd w:val="clear" w:color="auto" w:fill="auto"/>
            <w:vAlign w:val="center"/>
          </w:tcPr>
          <w:p w14:paraId="4C6128CF" w14:textId="77777777" w:rsidR="008F1E4C" w:rsidRPr="00C7677B" w:rsidRDefault="008F1E4C" w:rsidP="0009467D">
            <w:pPr>
              <w:spacing w:before="120" w:after="60"/>
              <w:jc w:val="center"/>
            </w:pPr>
            <w:r w:rsidRPr="00C7677B">
              <w:t>1</w:t>
            </w:r>
          </w:p>
        </w:tc>
        <w:tc>
          <w:tcPr>
            <w:tcW w:w="471" w:type="dxa"/>
            <w:shd w:val="clear" w:color="auto" w:fill="auto"/>
            <w:vAlign w:val="center"/>
          </w:tcPr>
          <w:p w14:paraId="4667792C" w14:textId="77777777" w:rsidR="008F1E4C" w:rsidRPr="00C7677B" w:rsidRDefault="008F1E4C" w:rsidP="0009467D">
            <w:pPr>
              <w:spacing w:before="120" w:after="60"/>
              <w:jc w:val="center"/>
            </w:pPr>
            <w:r w:rsidRPr="00C7677B">
              <w:t>2</w:t>
            </w:r>
          </w:p>
        </w:tc>
        <w:tc>
          <w:tcPr>
            <w:tcW w:w="472" w:type="dxa"/>
            <w:shd w:val="clear" w:color="auto" w:fill="auto"/>
            <w:vAlign w:val="center"/>
          </w:tcPr>
          <w:p w14:paraId="0AA05D03" w14:textId="77777777" w:rsidR="008F1E4C" w:rsidRPr="00C7677B" w:rsidRDefault="008F1E4C" w:rsidP="0009467D">
            <w:pPr>
              <w:spacing w:before="120" w:after="60"/>
              <w:jc w:val="center"/>
            </w:pPr>
            <w:r w:rsidRPr="00C7677B">
              <w:t>3</w:t>
            </w:r>
          </w:p>
        </w:tc>
        <w:tc>
          <w:tcPr>
            <w:tcW w:w="472" w:type="dxa"/>
            <w:shd w:val="clear" w:color="auto" w:fill="auto"/>
            <w:vAlign w:val="center"/>
          </w:tcPr>
          <w:p w14:paraId="451CEF44" w14:textId="77777777" w:rsidR="008F1E4C" w:rsidRPr="00C7677B" w:rsidRDefault="008F1E4C" w:rsidP="0009467D">
            <w:pPr>
              <w:spacing w:before="120" w:after="60"/>
              <w:jc w:val="center"/>
            </w:pPr>
            <w:r w:rsidRPr="00C7677B">
              <w:t>4</w:t>
            </w:r>
          </w:p>
        </w:tc>
      </w:tr>
      <w:tr w:rsidR="008F1E4C" w:rsidRPr="00686BB1" w14:paraId="00F4000F" w14:textId="77777777">
        <w:trPr>
          <w:trHeight w:val="760"/>
          <w:jc w:val="center"/>
        </w:trPr>
        <w:tc>
          <w:tcPr>
            <w:tcW w:w="5829" w:type="dxa"/>
            <w:tcBorders>
              <w:bottom w:val="single" w:sz="4" w:space="0" w:color="auto"/>
            </w:tcBorders>
            <w:shd w:val="pct10" w:color="auto" w:fill="auto"/>
            <w:vAlign w:val="center"/>
          </w:tcPr>
          <w:p w14:paraId="4F800B29" w14:textId="77777777" w:rsidR="008F1E4C" w:rsidRPr="00C7677B" w:rsidRDefault="008F1E4C" w:rsidP="00C7677B">
            <w:r w:rsidRPr="00C7677B">
              <w:t>10.  I just accepted the problem because I knew I couldn't do anything about it.</w:t>
            </w:r>
          </w:p>
        </w:tc>
        <w:tc>
          <w:tcPr>
            <w:tcW w:w="471" w:type="dxa"/>
            <w:tcBorders>
              <w:bottom w:val="single" w:sz="4" w:space="0" w:color="auto"/>
            </w:tcBorders>
            <w:shd w:val="pct10" w:color="auto" w:fill="auto"/>
            <w:vAlign w:val="center"/>
          </w:tcPr>
          <w:p w14:paraId="7E38F09F" w14:textId="77777777" w:rsidR="008F1E4C" w:rsidRPr="00C7677B" w:rsidRDefault="008F1E4C" w:rsidP="0009467D">
            <w:pPr>
              <w:spacing w:before="120" w:after="60"/>
              <w:jc w:val="center"/>
            </w:pPr>
            <w:r w:rsidRPr="00C7677B">
              <w:t>0</w:t>
            </w:r>
          </w:p>
        </w:tc>
        <w:tc>
          <w:tcPr>
            <w:tcW w:w="472" w:type="dxa"/>
            <w:tcBorders>
              <w:bottom w:val="single" w:sz="4" w:space="0" w:color="auto"/>
            </w:tcBorders>
            <w:shd w:val="pct10" w:color="auto" w:fill="auto"/>
            <w:vAlign w:val="center"/>
          </w:tcPr>
          <w:p w14:paraId="6973F49A" w14:textId="77777777" w:rsidR="008F1E4C" w:rsidRPr="00C7677B" w:rsidRDefault="008F1E4C" w:rsidP="0009467D">
            <w:pPr>
              <w:spacing w:before="120" w:after="60"/>
              <w:jc w:val="center"/>
            </w:pPr>
            <w:r w:rsidRPr="00C7677B">
              <w:t>1</w:t>
            </w:r>
          </w:p>
        </w:tc>
        <w:tc>
          <w:tcPr>
            <w:tcW w:w="407" w:type="dxa"/>
            <w:tcBorders>
              <w:bottom w:val="single" w:sz="4" w:space="0" w:color="auto"/>
            </w:tcBorders>
            <w:shd w:val="pct10" w:color="auto" w:fill="auto"/>
            <w:vAlign w:val="center"/>
          </w:tcPr>
          <w:p w14:paraId="207BA711" w14:textId="77777777" w:rsidR="008F1E4C" w:rsidRPr="00C7677B" w:rsidRDefault="008F1E4C" w:rsidP="0009467D">
            <w:pPr>
              <w:spacing w:before="120" w:after="60"/>
              <w:jc w:val="center"/>
            </w:pPr>
            <w:r w:rsidRPr="00C7677B">
              <w:t>2</w:t>
            </w:r>
          </w:p>
        </w:tc>
        <w:tc>
          <w:tcPr>
            <w:tcW w:w="630" w:type="dxa"/>
            <w:tcBorders>
              <w:bottom w:val="single" w:sz="4" w:space="0" w:color="auto"/>
              <w:right w:val="single" w:sz="4" w:space="0" w:color="auto"/>
            </w:tcBorders>
            <w:shd w:val="pct10" w:color="auto" w:fill="auto"/>
            <w:vAlign w:val="center"/>
          </w:tcPr>
          <w:p w14:paraId="42C4F8F7" w14:textId="77777777" w:rsidR="008F1E4C" w:rsidRPr="00C7677B" w:rsidRDefault="008F1E4C" w:rsidP="0009467D">
            <w:pPr>
              <w:spacing w:before="120" w:after="60"/>
              <w:jc w:val="center"/>
            </w:pPr>
            <w:r w:rsidRPr="00C7677B">
              <w:t>3</w:t>
            </w:r>
          </w:p>
        </w:tc>
        <w:tc>
          <w:tcPr>
            <w:tcW w:w="378" w:type="dxa"/>
            <w:tcBorders>
              <w:left w:val="single" w:sz="4" w:space="0" w:color="auto"/>
              <w:bottom w:val="single" w:sz="4" w:space="0" w:color="auto"/>
            </w:tcBorders>
            <w:shd w:val="pct10" w:color="auto" w:fill="auto"/>
            <w:vAlign w:val="center"/>
          </w:tcPr>
          <w:p w14:paraId="198FE1A4" w14:textId="77777777" w:rsidR="008F1E4C" w:rsidRPr="00C7677B" w:rsidRDefault="008F1E4C" w:rsidP="0009467D">
            <w:pPr>
              <w:spacing w:before="120" w:after="60"/>
              <w:jc w:val="center"/>
            </w:pPr>
            <w:r w:rsidRPr="00C7677B">
              <w:t>0</w:t>
            </w:r>
          </w:p>
        </w:tc>
        <w:tc>
          <w:tcPr>
            <w:tcW w:w="472" w:type="dxa"/>
            <w:tcBorders>
              <w:bottom w:val="single" w:sz="4" w:space="0" w:color="auto"/>
            </w:tcBorders>
            <w:shd w:val="pct10" w:color="auto" w:fill="auto"/>
            <w:vAlign w:val="center"/>
          </w:tcPr>
          <w:p w14:paraId="3FD0161D" w14:textId="77777777" w:rsidR="008F1E4C" w:rsidRPr="00C7677B" w:rsidRDefault="008F1E4C" w:rsidP="0009467D">
            <w:pPr>
              <w:spacing w:before="120" w:after="60"/>
              <w:jc w:val="center"/>
            </w:pPr>
            <w:r w:rsidRPr="00C7677B">
              <w:t>1</w:t>
            </w:r>
          </w:p>
        </w:tc>
        <w:tc>
          <w:tcPr>
            <w:tcW w:w="471" w:type="dxa"/>
            <w:tcBorders>
              <w:bottom w:val="single" w:sz="4" w:space="0" w:color="auto"/>
            </w:tcBorders>
            <w:shd w:val="pct10" w:color="auto" w:fill="auto"/>
            <w:vAlign w:val="center"/>
          </w:tcPr>
          <w:p w14:paraId="2CED1F97" w14:textId="77777777" w:rsidR="008F1E4C" w:rsidRPr="00C7677B" w:rsidRDefault="008F1E4C" w:rsidP="0009467D">
            <w:pPr>
              <w:spacing w:before="120" w:after="60"/>
              <w:jc w:val="center"/>
            </w:pPr>
            <w:r w:rsidRPr="00C7677B">
              <w:t>2</w:t>
            </w:r>
          </w:p>
        </w:tc>
        <w:tc>
          <w:tcPr>
            <w:tcW w:w="472" w:type="dxa"/>
            <w:tcBorders>
              <w:bottom w:val="single" w:sz="4" w:space="0" w:color="auto"/>
            </w:tcBorders>
            <w:shd w:val="pct10" w:color="auto" w:fill="auto"/>
            <w:vAlign w:val="center"/>
          </w:tcPr>
          <w:p w14:paraId="1FE1C185" w14:textId="77777777" w:rsidR="008F1E4C" w:rsidRPr="00C7677B" w:rsidRDefault="008F1E4C" w:rsidP="0009467D">
            <w:pPr>
              <w:spacing w:before="120" w:after="60"/>
              <w:jc w:val="center"/>
            </w:pPr>
            <w:r w:rsidRPr="00C7677B">
              <w:t>3</w:t>
            </w:r>
          </w:p>
        </w:tc>
        <w:tc>
          <w:tcPr>
            <w:tcW w:w="472" w:type="dxa"/>
            <w:tcBorders>
              <w:bottom w:val="single" w:sz="4" w:space="0" w:color="auto"/>
            </w:tcBorders>
            <w:shd w:val="pct10" w:color="auto" w:fill="auto"/>
            <w:vAlign w:val="center"/>
          </w:tcPr>
          <w:p w14:paraId="32C9C0BE" w14:textId="77777777" w:rsidR="008F1E4C" w:rsidRPr="00C7677B" w:rsidRDefault="008F1E4C" w:rsidP="0009467D">
            <w:pPr>
              <w:spacing w:before="120" w:after="60"/>
              <w:jc w:val="center"/>
            </w:pPr>
            <w:r w:rsidRPr="00C7677B">
              <w:t>4</w:t>
            </w:r>
          </w:p>
        </w:tc>
      </w:tr>
    </w:tbl>
    <w:p w14:paraId="2BB2FA6B" w14:textId="77777777" w:rsidR="008F1E4C" w:rsidRPr="00533440" w:rsidRDefault="008F1E4C" w:rsidP="008F1E4C">
      <w:pPr>
        <w:ind w:left="720"/>
      </w:pPr>
      <w:r>
        <w:lastRenderedPageBreak/>
        <w:tab/>
      </w:r>
      <w:r>
        <w:tab/>
      </w:r>
      <w:r>
        <w:tab/>
      </w:r>
    </w:p>
    <w:p w14:paraId="0C3DB2D7" w14:textId="77777777" w:rsidR="008F1E4C" w:rsidRPr="009A04D7" w:rsidRDefault="008F1E4C" w:rsidP="008F1E4C">
      <w:r w:rsidRPr="009A04D7">
        <w:t>© 1988, Antho</w:t>
      </w:r>
      <w:r>
        <w:t>ny Spirito.  All rights reserved</w:t>
      </w:r>
      <w:r w:rsidRPr="009A04D7">
        <w:t>.  Reprinted with permission of the instrument author.</w:t>
      </w:r>
    </w:p>
    <w:p w14:paraId="3602AA86" w14:textId="77777777" w:rsidR="00655ACD" w:rsidRDefault="003F289B" w:rsidP="008F1E4C"/>
    <w:sectPr w:rsidR="00655ACD" w:rsidSect="0067525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84"/>
    <w:multiLevelType w:val="hybridMultilevel"/>
    <w:tmpl w:val="CD609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76DEA"/>
    <w:multiLevelType w:val="hybridMultilevel"/>
    <w:tmpl w:val="0244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B02FF"/>
    <w:multiLevelType w:val="hybridMultilevel"/>
    <w:tmpl w:val="AF88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346A1"/>
    <w:multiLevelType w:val="hybridMultilevel"/>
    <w:tmpl w:val="31D07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D3C8C"/>
    <w:multiLevelType w:val="hybridMultilevel"/>
    <w:tmpl w:val="D708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7AA1"/>
    <w:multiLevelType w:val="hybridMultilevel"/>
    <w:tmpl w:val="7D6C2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4021F"/>
    <w:multiLevelType w:val="hybridMultilevel"/>
    <w:tmpl w:val="1242C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12357"/>
    <w:multiLevelType w:val="hybridMultilevel"/>
    <w:tmpl w:val="EBC0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444E"/>
    <w:multiLevelType w:val="hybridMultilevel"/>
    <w:tmpl w:val="3AF0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D4560"/>
    <w:multiLevelType w:val="hybridMultilevel"/>
    <w:tmpl w:val="9CD2C56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1941076A"/>
    <w:multiLevelType w:val="hybridMultilevel"/>
    <w:tmpl w:val="A4F4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C46A3"/>
    <w:multiLevelType w:val="hybridMultilevel"/>
    <w:tmpl w:val="563C8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204A20"/>
    <w:multiLevelType w:val="hybridMultilevel"/>
    <w:tmpl w:val="FBAEF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96BFD"/>
    <w:multiLevelType w:val="hybridMultilevel"/>
    <w:tmpl w:val="5220E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F45084"/>
    <w:multiLevelType w:val="hybridMultilevel"/>
    <w:tmpl w:val="08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55661"/>
    <w:multiLevelType w:val="hybridMultilevel"/>
    <w:tmpl w:val="379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34223"/>
    <w:multiLevelType w:val="hybridMultilevel"/>
    <w:tmpl w:val="124E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E3B27"/>
    <w:multiLevelType w:val="hybridMultilevel"/>
    <w:tmpl w:val="1B4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B16F3"/>
    <w:multiLevelType w:val="hybridMultilevel"/>
    <w:tmpl w:val="395E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86ED3"/>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D213B25"/>
    <w:multiLevelType w:val="hybridMultilevel"/>
    <w:tmpl w:val="77E89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306B5"/>
    <w:multiLevelType w:val="hybridMultilevel"/>
    <w:tmpl w:val="F1DE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91632"/>
    <w:multiLevelType w:val="hybridMultilevel"/>
    <w:tmpl w:val="849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B03C2"/>
    <w:multiLevelType w:val="hybridMultilevel"/>
    <w:tmpl w:val="D440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1A1F0D"/>
    <w:multiLevelType w:val="hybridMultilevel"/>
    <w:tmpl w:val="9D0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07E83"/>
    <w:multiLevelType w:val="hybridMultilevel"/>
    <w:tmpl w:val="6E96C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0C4650"/>
    <w:multiLevelType w:val="hybridMultilevel"/>
    <w:tmpl w:val="648A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0165D"/>
    <w:multiLevelType w:val="hybridMultilevel"/>
    <w:tmpl w:val="6C6C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37A4"/>
    <w:multiLevelType w:val="hybridMultilevel"/>
    <w:tmpl w:val="548E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55999"/>
    <w:multiLevelType w:val="hybridMultilevel"/>
    <w:tmpl w:val="16D8A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B65D6"/>
    <w:multiLevelType w:val="hybridMultilevel"/>
    <w:tmpl w:val="14F69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44411"/>
    <w:multiLevelType w:val="hybridMultilevel"/>
    <w:tmpl w:val="1C66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C689C"/>
    <w:multiLevelType w:val="hybridMultilevel"/>
    <w:tmpl w:val="C7B6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0665"/>
    <w:multiLevelType w:val="hybridMultilevel"/>
    <w:tmpl w:val="B7D2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920728"/>
    <w:multiLevelType w:val="hybridMultilevel"/>
    <w:tmpl w:val="051E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91DF8"/>
    <w:multiLevelType w:val="hybridMultilevel"/>
    <w:tmpl w:val="E830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715E2B"/>
    <w:multiLevelType w:val="hybridMultilevel"/>
    <w:tmpl w:val="7E0E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70F47"/>
    <w:multiLevelType w:val="hybridMultilevel"/>
    <w:tmpl w:val="9CD8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B803EC"/>
    <w:multiLevelType w:val="hybridMultilevel"/>
    <w:tmpl w:val="13E23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E65107"/>
    <w:multiLevelType w:val="hybridMultilevel"/>
    <w:tmpl w:val="205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22F23"/>
    <w:multiLevelType w:val="hybridMultilevel"/>
    <w:tmpl w:val="90882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871C7A"/>
    <w:multiLevelType w:val="hybridMultilevel"/>
    <w:tmpl w:val="73A6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A257D9"/>
    <w:multiLevelType w:val="hybridMultilevel"/>
    <w:tmpl w:val="D1040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837AC6"/>
    <w:multiLevelType w:val="hybridMultilevel"/>
    <w:tmpl w:val="9E2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36549">
    <w:abstractNumId w:val="6"/>
  </w:num>
  <w:num w:numId="2" w16cid:durableId="342781780">
    <w:abstractNumId w:val="7"/>
  </w:num>
  <w:num w:numId="3" w16cid:durableId="694304831">
    <w:abstractNumId w:val="40"/>
  </w:num>
  <w:num w:numId="4" w16cid:durableId="1610962915">
    <w:abstractNumId w:val="36"/>
  </w:num>
  <w:num w:numId="5" w16cid:durableId="577984098">
    <w:abstractNumId w:val="26"/>
  </w:num>
  <w:num w:numId="6" w16cid:durableId="1307660335">
    <w:abstractNumId w:val="42"/>
  </w:num>
  <w:num w:numId="7" w16cid:durableId="1451820313">
    <w:abstractNumId w:val="37"/>
  </w:num>
  <w:num w:numId="8" w16cid:durableId="1407069036">
    <w:abstractNumId w:val="8"/>
  </w:num>
  <w:num w:numId="9" w16cid:durableId="380635260">
    <w:abstractNumId w:val="39"/>
  </w:num>
  <w:num w:numId="10" w16cid:durableId="1284074941">
    <w:abstractNumId w:val="35"/>
  </w:num>
  <w:num w:numId="11" w16cid:durableId="595291483">
    <w:abstractNumId w:val="13"/>
  </w:num>
  <w:num w:numId="12" w16cid:durableId="29040323">
    <w:abstractNumId w:val="23"/>
  </w:num>
  <w:num w:numId="13" w16cid:durableId="499079299">
    <w:abstractNumId w:val="28"/>
  </w:num>
  <w:num w:numId="14" w16cid:durableId="1530680579">
    <w:abstractNumId w:val="33"/>
  </w:num>
  <w:num w:numId="15" w16cid:durableId="853617816">
    <w:abstractNumId w:val="34"/>
  </w:num>
  <w:num w:numId="16" w16cid:durableId="1609687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09396">
    <w:abstractNumId w:val="4"/>
  </w:num>
  <w:num w:numId="18" w16cid:durableId="1310750706">
    <w:abstractNumId w:val="38"/>
  </w:num>
  <w:num w:numId="19" w16cid:durableId="862011000">
    <w:abstractNumId w:val="10"/>
  </w:num>
  <w:num w:numId="20" w16cid:durableId="2068213156">
    <w:abstractNumId w:val="11"/>
  </w:num>
  <w:num w:numId="21" w16cid:durableId="1219048828">
    <w:abstractNumId w:val="31"/>
  </w:num>
  <w:num w:numId="22" w16cid:durableId="877090046">
    <w:abstractNumId w:val="1"/>
  </w:num>
  <w:num w:numId="23" w16cid:durableId="1261447835">
    <w:abstractNumId w:val="27"/>
  </w:num>
  <w:num w:numId="24" w16cid:durableId="673414289">
    <w:abstractNumId w:val="29"/>
  </w:num>
  <w:num w:numId="25" w16cid:durableId="677125511">
    <w:abstractNumId w:val="14"/>
  </w:num>
  <w:num w:numId="26" w16cid:durableId="755828349">
    <w:abstractNumId w:val="5"/>
  </w:num>
  <w:num w:numId="27" w16cid:durableId="1005590279">
    <w:abstractNumId w:val="3"/>
  </w:num>
  <w:num w:numId="28" w16cid:durableId="1294294076">
    <w:abstractNumId w:val="25"/>
  </w:num>
  <w:num w:numId="29" w16cid:durableId="873810751">
    <w:abstractNumId w:val="18"/>
  </w:num>
  <w:num w:numId="30" w16cid:durableId="101195531">
    <w:abstractNumId w:val="2"/>
  </w:num>
  <w:num w:numId="31" w16cid:durableId="132993161">
    <w:abstractNumId w:val="19"/>
  </w:num>
  <w:num w:numId="32" w16cid:durableId="958292495">
    <w:abstractNumId w:val="30"/>
  </w:num>
  <w:num w:numId="33" w16cid:durableId="841241061">
    <w:abstractNumId w:val="9"/>
  </w:num>
  <w:num w:numId="34" w16cid:durableId="675499475">
    <w:abstractNumId w:val="15"/>
  </w:num>
  <w:num w:numId="35" w16cid:durableId="628128042">
    <w:abstractNumId w:val="12"/>
  </w:num>
  <w:num w:numId="36" w16cid:durableId="1968730620">
    <w:abstractNumId w:val="20"/>
  </w:num>
  <w:num w:numId="37" w16cid:durableId="1970502781">
    <w:abstractNumId w:val="43"/>
  </w:num>
  <w:num w:numId="38" w16cid:durableId="290484206">
    <w:abstractNumId w:val="16"/>
  </w:num>
  <w:num w:numId="39" w16cid:durableId="1917471747">
    <w:abstractNumId w:val="0"/>
  </w:num>
  <w:num w:numId="40" w16cid:durableId="414908431">
    <w:abstractNumId w:val="32"/>
  </w:num>
  <w:num w:numId="41" w16cid:durableId="1602764951">
    <w:abstractNumId w:val="21"/>
  </w:num>
  <w:num w:numId="42" w16cid:durableId="2033846996">
    <w:abstractNumId w:val="24"/>
  </w:num>
  <w:num w:numId="43" w16cid:durableId="828331617">
    <w:abstractNumId w:val="17"/>
  </w:num>
  <w:num w:numId="44" w16cid:durableId="241262251">
    <w:abstractNumId w:val="41"/>
  </w:num>
  <w:num w:numId="45" w16cid:durableId="9525927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4C"/>
    <w:rsid w:val="003F289B"/>
    <w:rsid w:val="00857442"/>
    <w:rsid w:val="008F1E4C"/>
    <w:rsid w:val="009D7D1B"/>
    <w:rsid w:val="00B40CBE"/>
    <w:rsid w:val="00BE6CA8"/>
    <w:rsid w:val="00F921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9C45"/>
  <w15:docId w15:val="{16454FB3-7855-42F0-81EF-199E2F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C"/>
    <w:rPr>
      <w:rFonts w:ascii="Times New Roman" w:eastAsia="Cambria" w:hAnsi="Times New Roman" w:cs="Times New Roman"/>
    </w:rPr>
  </w:style>
  <w:style w:type="paragraph" w:styleId="Heading1">
    <w:name w:val="heading 1"/>
    <w:basedOn w:val="Normal"/>
    <w:link w:val="Heading1Char"/>
    <w:uiPriority w:val="9"/>
    <w:qFormat/>
    <w:rsid w:val="008F1E4C"/>
    <w:pPr>
      <w:spacing w:after="108"/>
      <w:outlineLvl w:val="0"/>
    </w:pPr>
    <w:rPr>
      <w:rFonts w:eastAsia="Times New Roman"/>
      <w:b/>
      <w:bCs/>
      <w:kern w:val="36"/>
      <w:sz w:val="31"/>
      <w:szCs w:val="31"/>
    </w:rPr>
  </w:style>
  <w:style w:type="paragraph" w:styleId="Heading2">
    <w:name w:val="heading 2"/>
    <w:basedOn w:val="Normal"/>
    <w:next w:val="Normal"/>
    <w:link w:val="Heading2Char"/>
    <w:uiPriority w:val="9"/>
    <w:unhideWhenUsed/>
    <w:qFormat/>
    <w:rsid w:val="008F1E4C"/>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unhideWhenUsed/>
    <w:qFormat/>
    <w:rsid w:val="008F1E4C"/>
    <w:pPr>
      <w:spacing w:before="240" w:after="60"/>
      <w:outlineLvl w:val="7"/>
    </w:pPr>
    <w:rPr>
      <w:rFonts w:ascii="Calibri" w:eastAsia="Times New Roman" w:hAnsi="Calibri"/>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C"/>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8F1E4C"/>
    <w:rPr>
      <w:rFonts w:ascii="Cambria" w:eastAsia="Times New Roman" w:hAnsi="Cambria" w:cs="Times New Roman"/>
      <w:b/>
      <w:bCs/>
      <w:i/>
      <w:iCs/>
      <w:sz w:val="28"/>
      <w:szCs w:val="28"/>
    </w:rPr>
  </w:style>
  <w:style w:type="character" w:customStyle="1" w:styleId="Heading8Char">
    <w:name w:val="Heading 8 Char"/>
    <w:basedOn w:val="DefaultParagraphFont"/>
    <w:link w:val="Heading8"/>
    <w:rsid w:val="008F1E4C"/>
    <w:rPr>
      <w:rFonts w:ascii="Calibri" w:eastAsia="Times New Roman" w:hAnsi="Calibri" w:cs="Times New Roman"/>
      <w:i/>
      <w:iCs/>
      <w:lang w:val="en-AU"/>
    </w:rPr>
  </w:style>
  <w:style w:type="paragraph" w:customStyle="1" w:styleId="style11">
    <w:name w:val="style11"/>
    <w:basedOn w:val="Normal"/>
    <w:rsid w:val="008F1E4C"/>
    <w:pPr>
      <w:ind w:left="240" w:right="240"/>
    </w:pPr>
    <w:rPr>
      <w:rFonts w:eastAsia="Times New Roman"/>
      <w:sz w:val="22"/>
      <w:szCs w:val="22"/>
    </w:rPr>
  </w:style>
  <w:style w:type="character" w:styleId="Hyperlink">
    <w:name w:val="Hyperlink"/>
    <w:basedOn w:val="DefaultParagraphFont"/>
    <w:uiPriority w:val="99"/>
    <w:unhideWhenUsed/>
    <w:rsid w:val="008F1E4C"/>
    <w:rPr>
      <w:color w:val="0000FF"/>
      <w:u w:val="single"/>
    </w:rPr>
  </w:style>
  <w:style w:type="character" w:customStyle="1" w:styleId="medium-font">
    <w:name w:val="medium-font"/>
    <w:basedOn w:val="DefaultParagraphFont"/>
    <w:rsid w:val="008F1E4C"/>
  </w:style>
  <w:style w:type="paragraph" w:styleId="NormalWeb">
    <w:name w:val="Normal (Web)"/>
    <w:basedOn w:val="Normal"/>
    <w:uiPriority w:val="99"/>
    <w:unhideWhenUsed/>
    <w:rsid w:val="008F1E4C"/>
    <w:pPr>
      <w:spacing w:before="100" w:beforeAutospacing="1" w:after="100" w:afterAutospacing="1"/>
    </w:pPr>
    <w:rPr>
      <w:rFonts w:eastAsia="Times New Roman"/>
    </w:rPr>
  </w:style>
  <w:style w:type="table" w:styleId="TableGrid">
    <w:name w:val="Table Grid"/>
    <w:basedOn w:val="TableNormal"/>
    <w:uiPriority w:val="59"/>
    <w:rsid w:val="008F1E4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E4C"/>
    <w:pPr>
      <w:spacing w:after="200" w:line="276" w:lineRule="auto"/>
      <w:ind w:left="720"/>
      <w:contextualSpacing/>
    </w:pPr>
    <w:rPr>
      <w:rFonts w:ascii="Calibri" w:eastAsia="Calibri" w:hAnsi="Calibri"/>
      <w:sz w:val="22"/>
      <w:szCs w:val="22"/>
    </w:rPr>
  </w:style>
  <w:style w:type="paragraph" w:customStyle="1" w:styleId="Default">
    <w:name w:val="Default"/>
    <w:rsid w:val="008F1E4C"/>
    <w:pPr>
      <w:autoSpaceDE w:val="0"/>
      <w:autoSpaceDN w:val="0"/>
      <w:adjustRightInd w:val="0"/>
    </w:pPr>
    <w:rPr>
      <w:rFonts w:ascii="Times New Roman" w:eastAsia="Calibri" w:hAnsi="Times New Roman" w:cs="Times New Roman"/>
      <w:color w:val="000000"/>
    </w:rPr>
  </w:style>
  <w:style w:type="paragraph" w:customStyle="1" w:styleId="NoSpacing1">
    <w:name w:val="No Spacing1"/>
    <w:uiPriority w:val="1"/>
    <w:qFormat/>
    <w:rsid w:val="008F1E4C"/>
    <w:rPr>
      <w:rFonts w:ascii="Calibri" w:eastAsia="Calibri" w:hAnsi="Calibri" w:cs="Times New Roman"/>
    </w:rPr>
  </w:style>
  <w:style w:type="character" w:styleId="Emphasis">
    <w:name w:val="Emphasis"/>
    <w:basedOn w:val="DefaultParagraphFont"/>
    <w:uiPriority w:val="20"/>
    <w:qFormat/>
    <w:rsid w:val="008F1E4C"/>
    <w:rPr>
      <w:i/>
      <w:iCs/>
    </w:rPr>
  </w:style>
  <w:style w:type="paragraph" w:styleId="HTMLPreformatted">
    <w:name w:val="HTML Preformatted"/>
    <w:basedOn w:val="Normal"/>
    <w:link w:val="HTMLPreformattedChar"/>
    <w:rsid w:val="008F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1E4C"/>
    <w:rPr>
      <w:rFonts w:ascii="Courier New" w:eastAsia="Times New Roman" w:hAnsi="Courier New" w:cs="Courier New"/>
      <w:sz w:val="20"/>
      <w:szCs w:val="20"/>
    </w:rPr>
  </w:style>
  <w:style w:type="paragraph" w:styleId="BalloonText">
    <w:name w:val="Balloon Text"/>
    <w:basedOn w:val="Normal"/>
    <w:link w:val="BalloonTextChar"/>
    <w:unhideWhenUsed/>
    <w:rsid w:val="008F1E4C"/>
    <w:rPr>
      <w:rFonts w:ascii="Tahoma" w:eastAsia="Calibri" w:hAnsi="Tahoma" w:cs="Tahoma"/>
      <w:sz w:val="16"/>
      <w:szCs w:val="16"/>
    </w:rPr>
  </w:style>
  <w:style w:type="character" w:customStyle="1" w:styleId="BalloonTextChar">
    <w:name w:val="Balloon Text Char"/>
    <w:basedOn w:val="DefaultParagraphFont"/>
    <w:link w:val="BalloonText"/>
    <w:rsid w:val="008F1E4C"/>
    <w:rPr>
      <w:rFonts w:ascii="Tahoma" w:eastAsia="Calibri" w:hAnsi="Tahoma" w:cs="Tahoma"/>
      <w:sz w:val="16"/>
      <w:szCs w:val="16"/>
    </w:rPr>
  </w:style>
  <w:style w:type="paragraph" w:styleId="BodyTextIndent">
    <w:name w:val="Body Text Indent"/>
    <w:basedOn w:val="Normal"/>
    <w:link w:val="BodyTextIndentChar"/>
    <w:rsid w:val="008F1E4C"/>
    <w:pPr>
      <w:widowControl w:val="0"/>
      <w:spacing w:line="480" w:lineRule="auto"/>
      <w:ind w:firstLine="720"/>
    </w:pPr>
    <w:rPr>
      <w:rFonts w:eastAsia="Times New Roman"/>
      <w:szCs w:val="20"/>
    </w:rPr>
  </w:style>
  <w:style w:type="character" w:customStyle="1" w:styleId="BodyTextIndentChar">
    <w:name w:val="Body Text Indent Char"/>
    <w:basedOn w:val="DefaultParagraphFont"/>
    <w:link w:val="BodyTextIndent"/>
    <w:rsid w:val="008F1E4C"/>
    <w:rPr>
      <w:rFonts w:ascii="Times New Roman" w:eastAsia="Times New Roman" w:hAnsi="Times New Roman" w:cs="Times New Roman"/>
      <w:szCs w:val="20"/>
    </w:rPr>
  </w:style>
  <w:style w:type="paragraph" w:styleId="BodyText">
    <w:name w:val="Body Text"/>
    <w:basedOn w:val="Normal"/>
    <w:link w:val="BodyTextChar"/>
    <w:uiPriority w:val="99"/>
    <w:unhideWhenUsed/>
    <w:rsid w:val="008F1E4C"/>
    <w:pPr>
      <w:spacing w:after="120"/>
    </w:pPr>
    <w:rPr>
      <w:rFonts w:ascii="Cambria" w:hAnsi="Cambria"/>
    </w:rPr>
  </w:style>
  <w:style w:type="character" w:customStyle="1" w:styleId="BodyTextChar">
    <w:name w:val="Body Text Char"/>
    <w:basedOn w:val="DefaultParagraphFont"/>
    <w:link w:val="BodyText"/>
    <w:uiPriority w:val="99"/>
    <w:rsid w:val="008F1E4C"/>
    <w:rPr>
      <w:rFonts w:ascii="Cambria" w:eastAsia="Cambria" w:hAnsi="Cambria" w:cs="Times New Roman"/>
    </w:rPr>
  </w:style>
  <w:style w:type="paragraph" w:styleId="Footer">
    <w:name w:val="footer"/>
    <w:basedOn w:val="Normal"/>
    <w:link w:val="FooterChar"/>
    <w:rsid w:val="008F1E4C"/>
    <w:pPr>
      <w:tabs>
        <w:tab w:val="center" w:pos="4320"/>
        <w:tab w:val="right" w:pos="8640"/>
      </w:tabs>
    </w:pPr>
    <w:rPr>
      <w:rFonts w:eastAsia="Times New Roman"/>
    </w:rPr>
  </w:style>
  <w:style w:type="character" w:customStyle="1" w:styleId="FooterChar">
    <w:name w:val="Footer Char"/>
    <w:basedOn w:val="DefaultParagraphFont"/>
    <w:link w:val="Footer"/>
    <w:rsid w:val="008F1E4C"/>
    <w:rPr>
      <w:rFonts w:ascii="Times New Roman" w:eastAsia="Times New Roman" w:hAnsi="Times New Roman" w:cs="Times New Roman"/>
    </w:rPr>
  </w:style>
  <w:style w:type="character" w:customStyle="1" w:styleId="ib1">
    <w:name w:val="ib1"/>
    <w:basedOn w:val="DefaultParagraphFont"/>
    <w:rsid w:val="008F1E4C"/>
    <w:rPr>
      <w:spacing w:val="0"/>
    </w:rPr>
  </w:style>
  <w:style w:type="paragraph" w:styleId="BodyText2">
    <w:name w:val="Body Text 2"/>
    <w:basedOn w:val="Normal"/>
    <w:link w:val="BodyText2Char"/>
    <w:uiPriority w:val="99"/>
    <w:unhideWhenUsed/>
    <w:rsid w:val="008F1E4C"/>
    <w:pPr>
      <w:spacing w:after="120" w:line="480" w:lineRule="auto"/>
    </w:pPr>
    <w:rPr>
      <w:rFonts w:ascii="Cambria" w:hAnsi="Cambria"/>
    </w:rPr>
  </w:style>
  <w:style w:type="character" w:customStyle="1" w:styleId="BodyText2Char">
    <w:name w:val="Body Text 2 Char"/>
    <w:basedOn w:val="DefaultParagraphFont"/>
    <w:link w:val="BodyText2"/>
    <w:uiPriority w:val="99"/>
    <w:rsid w:val="008F1E4C"/>
    <w:rPr>
      <w:rFonts w:ascii="Cambria" w:eastAsia="Cambria" w:hAnsi="Cambria" w:cs="Times New Roman"/>
    </w:rPr>
  </w:style>
  <w:style w:type="paragraph" w:styleId="BodyText3">
    <w:name w:val="Body Text 3"/>
    <w:basedOn w:val="Normal"/>
    <w:link w:val="BodyText3Char"/>
    <w:uiPriority w:val="99"/>
    <w:unhideWhenUsed/>
    <w:rsid w:val="008F1E4C"/>
    <w:pPr>
      <w:spacing w:after="120"/>
    </w:pPr>
    <w:rPr>
      <w:rFonts w:ascii="Cambria" w:hAnsi="Cambria"/>
      <w:sz w:val="16"/>
      <w:szCs w:val="16"/>
    </w:rPr>
  </w:style>
  <w:style w:type="character" w:customStyle="1" w:styleId="BodyText3Char">
    <w:name w:val="Body Text 3 Char"/>
    <w:basedOn w:val="DefaultParagraphFont"/>
    <w:link w:val="BodyText3"/>
    <w:uiPriority w:val="99"/>
    <w:rsid w:val="008F1E4C"/>
    <w:rPr>
      <w:rFonts w:ascii="Cambria" w:eastAsia="Cambria" w:hAnsi="Cambria" w:cs="Times New Roman"/>
      <w:sz w:val="16"/>
      <w:szCs w:val="16"/>
    </w:rPr>
  </w:style>
  <w:style w:type="character" w:styleId="FollowedHyperlink">
    <w:name w:val="FollowedHyperlink"/>
    <w:basedOn w:val="DefaultParagraphFont"/>
    <w:uiPriority w:val="99"/>
    <w:unhideWhenUsed/>
    <w:rsid w:val="008F1E4C"/>
    <w:rPr>
      <w:color w:val="800080"/>
      <w:u w:val="single"/>
    </w:rPr>
  </w:style>
  <w:style w:type="paragraph" w:styleId="Header">
    <w:name w:val="header"/>
    <w:basedOn w:val="Normal"/>
    <w:link w:val="HeaderChar"/>
    <w:rsid w:val="008F1E4C"/>
    <w:pPr>
      <w:tabs>
        <w:tab w:val="center" w:pos="4320"/>
        <w:tab w:val="right" w:pos="8640"/>
      </w:tabs>
    </w:pPr>
    <w:rPr>
      <w:rFonts w:eastAsia="Times New Roman"/>
    </w:rPr>
  </w:style>
  <w:style w:type="character" w:customStyle="1" w:styleId="HeaderChar">
    <w:name w:val="Header Char"/>
    <w:basedOn w:val="DefaultParagraphFont"/>
    <w:link w:val="Header"/>
    <w:rsid w:val="008F1E4C"/>
    <w:rPr>
      <w:rFonts w:ascii="Times New Roman" w:eastAsia="Times New Roman" w:hAnsi="Times New Roman" w:cs="Times New Roman"/>
    </w:rPr>
  </w:style>
  <w:style w:type="paragraph" w:customStyle="1" w:styleId="body-paragraph">
    <w:name w:val="body-paragraph"/>
    <w:basedOn w:val="Normal"/>
    <w:rsid w:val="008F1E4C"/>
    <w:pPr>
      <w:spacing w:beforeLines="1" w:afterLines="1"/>
    </w:pPr>
    <w:rPr>
      <w:rFonts w:ascii="Times" w:eastAsiaTheme="minorHAnsi" w:hAnsi="Times" w:cstheme="minorBidi"/>
      <w:sz w:val="20"/>
      <w:szCs w:val="20"/>
    </w:rPr>
  </w:style>
  <w:style w:type="character" w:styleId="Strong">
    <w:name w:val="Strong"/>
    <w:basedOn w:val="DefaultParagraphFont"/>
    <w:uiPriority w:val="22"/>
    <w:rsid w:val="008F1E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Simmons</dc:creator>
  <cp:lastModifiedBy>Joe Nichols</cp:lastModifiedBy>
  <cp:revision>2</cp:revision>
  <dcterms:created xsi:type="dcterms:W3CDTF">2022-09-08T20:30:00Z</dcterms:created>
  <dcterms:modified xsi:type="dcterms:W3CDTF">2022-09-08T20:30:00Z</dcterms:modified>
</cp:coreProperties>
</file>